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media/image2.wmf" ContentType="image/x-wmf"/>
  <Override PartName="/word/media/image3.wmf" ContentType="image/x-wmf"/>
  <Override PartName="/word/media/image4.wmf" ContentType="image/x-wmf"/>
  <Override PartName="/word/media/image5.wmf" ContentType="image/x-wmf"/>
  <Override PartName="/word/media/image6.wmf" ContentType="image/x-wmf"/>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rmal"/>
        <w:numPr>
          <w:ilvl w:val="0"/>
          <w:numId w:val="0"/>
        </w:numPr>
        <w:bidi w:val="0"/>
        <w:spacing w:before="0" w:after="0"/>
        <w:ind w:left="3402" w:right="0" w:hanging="0"/>
        <w:jc w:val="center"/>
        <w:outlineLvl w:val="0"/>
        <w:rPr/>
      </w:pPr>
      <w:r>
        <w:rPr>
          <w:rFonts w:cs="Times New Roman" w:ascii="Times New Roman" w:hAnsi="Times New Roman"/>
          <w:sz w:val="24"/>
          <w:szCs w:val="24"/>
        </w:rPr>
        <w:t xml:space="preserve"> </w:t>
      </w:r>
      <w:r>
        <w:rPr>
          <w:rFonts w:cs="Times New Roman" w:ascii="Times New Roman" w:hAnsi="Times New Roman"/>
          <w:sz w:val="24"/>
          <w:szCs w:val="24"/>
        </w:rPr>
        <w:t>Утверждена</w:t>
      </w:r>
    </w:p>
    <w:p>
      <w:pPr>
        <w:pStyle w:val="ConsPlusNormal"/>
        <w:numPr>
          <w:ilvl w:val="0"/>
          <w:numId w:val="0"/>
        </w:numPr>
        <w:bidi w:val="0"/>
        <w:spacing w:before="0" w:after="0"/>
        <w:ind w:left="3402" w:right="0" w:hanging="0"/>
        <w:jc w:val="center"/>
        <w:rPr/>
      </w:pPr>
      <w:r>
        <w:rPr>
          <w:rFonts w:cs="Times New Roman" w:ascii="Times New Roman" w:hAnsi="Times New Roman"/>
          <w:sz w:val="24"/>
          <w:szCs w:val="24"/>
        </w:rPr>
        <w:t xml:space="preserve">постановлением Администрации Тимского района Курской области от 19.12.2019 г. №722 </w:t>
      </w:r>
      <w:r>
        <w:rPr>
          <w:rStyle w:val="3"/>
          <w:bCs/>
          <w:color w:val="000000"/>
          <w:sz w:val="24"/>
          <w:szCs w:val="24"/>
        </w:rPr>
        <w:t>(в ред. постановления Администрации Тимского района Курской области от 13.03.2020 г. №191,</w:t>
      </w:r>
    </w:p>
    <w:p>
      <w:pPr>
        <w:pStyle w:val="NormalWeb"/>
        <w:numPr>
          <w:ilvl w:val="0"/>
          <w:numId w:val="0"/>
        </w:numPr>
        <w:bidi w:val="0"/>
        <w:spacing w:before="0" w:after="0"/>
        <w:ind w:left="3402" w:right="0" w:hanging="0"/>
        <w:jc w:val="center"/>
        <w:rPr/>
      </w:pPr>
      <w:r>
        <w:rPr>
          <w:rStyle w:val="3"/>
          <w:sz w:val="24"/>
          <w:szCs w:val="24"/>
        </w:rPr>
        <w:t xml:space="preserve">от 08.06.2020 г., №364, от 19.11.2020 г. №940, </w:t>
      </w:r>
    </w:p>
    <w:p>
      <w:pPr>
        <w:pStyle w:val="NormalWeb"/>
        <w:numPr>
          <w:ilvl w:val="0"/>
          <w:numId w:val="0"/>
        </w:numPr>
        <w:bidi w:val="0"/>
        <w:spacing w:before="0" w:after="0"/>
        <w:ind w:left="3402" w:right="0" w:hanging="0"/>
        <w:jc w:val="center"/>
        <w:rPr/>
      </w:pPr>
      <w:r>
        <w:rPr>
          <w:rStyle w:val="3"/>
          <w:sz w:val="24"/>
          <w:szCs w:val="24"/>
        </w:rPr>
        <w:t xml:space="preserve">от 22.01.2021 г., №46, от 17.02.2021 г. №88, от 21.04.2021 г. №349, от 20.10.2021 г. №1160, от 28.01.2022 г. №113, от 31.03.2022 г. №319, от 05.08.2022 г. №745, от 28.12.2022 г. №1060,  от 27.06.2023 г. №355, от 15.12.2023 г. №715, </w:t>
      </w:r>
      <w:r>
        <w:rPr>
          <w:rStyle w:val="3"/>
          <w:sz w:val="24"/>
          <w:szCs w:val="24"/>
        </w:rPr>
        <w:t xml:space="preserve">от </w:t>
      </w:r>
      <w:r>
        <w:rPr>
          <w:rStyle w:val="3"/>
          <w:sz w:val="24"/>
          <w:szCs w:val="24"/>
        </w:rPr>
        <w:t>26.03.2014 г. №146-па)</w:t>
      </w:r>
    </w:p>
    <w:p>
      <w:pPr>
        <w:pStyle w:val="ConsPlusNormal"/>
        <w:ind w:left="4500" w:hanging="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Муниципальная программа Тимского района Курской области </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 xml:space="preserve">«Комплексное развитие сельских территорий Тимского района </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 xml:space="preserve">Курской области» </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Ответственный исполнитель –</w:t>
      </w:r>
    </w:p>
    <w:p>
      <w:pPr>
        <w:pStyle w:val="Normal"/>
        <w:widowControl w:val="false"/>
        <w:spacing w:lineRule="auto" w:line="240" w:before="0" w:after="0"/>
        <w:ind w:hanging="0"/>
        <w:jc w:val="center"/>
        <w:rPr>
          <w:rFonts w:ascii="Times New Roman" w:hAnsi="Times New Roman" w:cs="Times New Roman"/>
          <w:sz w:val="24"/>
          <w:szCs w:val="24"/>
        </w:rPr>
      </w:pPr>
      <w:r>
        <w:rPr>
          <w:rStyle w:val="81"/>
          <w:rFonts w:cs="Times New Roman" w:ascii="Times New Roman" w:hAnsi="Times New Roman"/>
          <w:b w:val="false"/>
          <w:bCs w:val="false"/>
          <w:color w:val="000000"/>
          <w:sz w:val="28"/>
          <w:szCs w:val="28"/>
          <w:lang w:eastAsia="en-US"/>
        </w:rPr>
        <w:t>Главный специалист-эксперт по вопросам строительства и архитектуры Администрации Тимского района Курской области</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Дата составления проекта муниципальной программы – 18.12.2019 г.</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Непосредственный исполнитель – главный специалист-эксперт по вопросам строительства и архитектуры Администрации Тимского района Курской области А. Н. Афанасьев тел.: 8 (47153) 2-30-90, эл. адрес: </w:t>
      </w:r>
      <w:hyperlink r:id="rId2">
        <w:r>
          <w:rPr>
            <w:rFonts w:ascii="Times New Roman" w:hAnsi="Times New Roman"/>
            <w:sz w:val="28"/>
            <w:szCs w:val="28"/>
            <w:lang w:val="en-US"/>
          </w:rPr>
          <w:t>arhitertortim</w:t>
        </w:r>
        <w:r>
          <w:rPr>
            <w:rFonts w:ascii="Times New Roman" w:hAnsi="Times New Roman"/>
            <w:sz w:val="28"/>
            <w:szCs w:val="28"/>
          </w:rPr>
          <w:t>@</w:t>
        </w:r>
        <w:r>
          <w:rPr>
            <w:rFonts w:ascii="Times New Roman" w:hAnsi="Times New Roman"/>
            <w:sz w:val="28"/>
            <w:szCs w:val="28"/>
            <w:lang w:val="en-US"/>
          </w:rPr>
          <w:t>mail</w:t>
        </w:r>
        <w:r>
          <w:rPr>
            <w:rFonts w:ascii="Times New Roman" w:hAnsi="Times New Roman"/>
            <w:sz w:val="28"/>
            <w:szCs w:val="28"/>
          </w:rPr>
          <w:t>.</w:t>
        </w:r>
        <w:r>
          <w:rPr>
            <w:rFonts w:ascii="Times New Roman" w:hAnsi="Times New Roman"/>
            <w:sz w:val="28"/>
            <w:szCs w:val="28"/>
            <w:lang w:val="en-US"/>
          </w:rPr>
          <w:t>ru</w:t>
        </w:r>
      </w:hyperlink>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Руководитель структурного подразделения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Администрации Тимского района Курской области –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заместитель Главы Администрации района                                   ____________</w:t>
      </w:r>
    </w:p>
    <w:p>
      <w:pPr>
        <w:pStyle w:val="ConsPlusTitle"/>
        <w:jc w:val="center"/>
        <w:rPr>
          <w:rFonts w:ascii="Times New Roman" w:hAnsi="Times New Roman" w:cs="Times New Roman"/>
          <w:sz w:val="28"/>
          <w:szCs w:val="28"/>
        </w:rPr>
      </w:pPr>
      <w:r>
        <w:rPr>
          <w:rFonts w:cs="Times New Roman" w:ascii="Times New Roman" w:hAnsi="Times New Roman"/>
          <w:sz w:val="28"/>
          <w:szCs w:val="28"/>
        </w:rPr>
        <w:t>МУНИЦИПАЛЬНАЯ  ПРОГРАММА  ТИМСКОГО РАЙОНА КУРСКОЙ ОБЛАСТИ</w:t>
      </w:r>
    </w:p>
    <w:p>
      <w:pPr>
        <w:pStyle w:val="ConsPlusTitle"/>
        <w:jc w:val="center"/>
        <w:rPr>
          <w:rFonts w:ascii="Times New Roman" w:hAnsi="Times New Roman" w:cs="Times New Roman"/>
          <w:sz w:val="28"/>
          <w:szCs w:val="28"/>
        </w:rPr>
      </w:pPr>
      <w:r>
        <w:rPr>
          <w:rFonts w:cs="Times New Roman" w:ascii="Times New Roman" w:hAnsi="Times New Roman"/>
          <w:sz w:val="28"/>
          <w:szCs w:val="28"/>
        </w:rPr>
        <w:t xml:space="preserve">«КОМПЛЕКСНОЕ РАЗВИТИЕ СЕЛЬСКИХ ТЕРРИТОРИЙ ТИМСКОГО РАЙОНА КУРСКОЙ ОБЛАСТИ» </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sz w:val="28"/>
          <w:szCs w:val="28"/>
        </w:rPr>
      </w:pPr>
      <w:r>
        <w:rPr>
          <w:rFonts w:cs="Times New Roman" w:ascii="Times New Roman" w:hAnsi="Times New Roman"/>
          <w:sz w:val="28"/>
          <w:szCs w:val="28"/>
        </w:rPr>
        <w:t>ПАСПОРТ</w:t>
      </w:r>
    </w:p>
    <w:p>
      <w:pPr>
        <w:pStyle w:val="ConsPlusTitle"/>
        <w:jc w:val="center"/>
        <w:rPr>
          <w:sz w:val="28"/>
          <w:szCs w:val="28"/>
        </w:rPr>
      </w:pPr>
      <w:r>
        <w:rPr>
          <w:rFonts w:cs="Times New Roman" w:ascii="Times New Roman" w:hAnsi="Times New Roman"/>
          <w:sz w:val="28"/>
          <w:szCs w:val="28"/>
        </w:rPr>
        <w:t>муниципальной программы Тимского района Курской области</w:t>
      </w:r>
    </w:p>
    <w:p>
      <w:pPr>
        <w:pStyle w:val="ConsPlusTitle"/>
        <w:jc w:val="center"/>
        <w:rPr>
          <w:sz w:val="28"/>
          <w:szCs w:val="28"/>
        </w:rPr>
      </w:pPr>
      <w:r>
        <w:rPr>
          <w:rFonts w:cs="Times New Roman" w:ascii="Times New Roman" w:hAnsi="Times New Roman"/>
          <w:sz w:val="28"/>
          <w:szCs w:val="28"/>
        </w:rPr>
        <w:t>«Комплексное развитие сельских территорий Тимского района Курской области»</w:t>
      </w:r>
    </w:p>
    <w:p>
      <w:pPr>
        <w:pStyle w:val="ConsPlusTitle"/>
        <w:jc w:val="center"/>
        <w:rPr>
          <w:rFonts w:ascii="Times New Roman" w:hAnsi="Times New Roman" w:cs="Times New Roman"/>
          <w:sz w:val="25"/>
          <w:szCs w:val="25"/>
        </w:rPr>
      </w:pPr>
      <w:r>
        <w:rPr>
          <w:rFonts w:cs="Times New Roman" w:ascii="Times New Roman" w:hAnsi="Times New Roman"/>
          <w:sz w:val="25"/>
          <w:szCs w:val="25"/>
        </w:rPr>
      </w:r>
    </w:p>
    <w:tbl>
      <w:tblPr>
        <w:tblW w:w="9034" w:type="dxa"/>
        <w:jc w:val="left"/>
        <w:tblInd w:w="-60" w:type="dxa"/>
        <w:tblLayout w:type="fixed"/>
        <w:tblCellMar>
          <w:top w:w="102" w:type="dxa"/>
          <w:left w:w="62" w:type="dxa"/>
          <w:bottom w:w="102" w:type="dxa"/>
          <w:right w:w="62" w:type="dxa"/>
        </w:tblCellMar>
        <w:tblLook w:val="00a0"/>
      </w:tblPr>
      <w:tblGrid>
        <w:gridCol w:w="3288"/>
        <w:gridCol w:w="359"/>
        <w:gridCol w:w="5387"/>
      </w:tblGrid>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Ответственный исполнитель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Главный специалист-эксперт по вопросам строительства и архитектуры Администрации Тимского района Курской области</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Соисполнители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отсутствуют</w:t>
            </w:r>
            <w:bookmarkStart w:id="0" w:name="_GoBack"/>
            <w:bookmarkEnd w:id="0"/>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Участники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ConsPlusNormal"/>
              <w:widowControl w:val="false"/>
              <w:spacing w:lineRule="auto" w:line="240" w:before="0" w:after="0"/>
              <w:ind w:left="0" w:right="0" w:hanging="0"/>
              <w:contextualSpacing/>
              <w:jc w:val="both"/>
              <w:rPr>
                <w:rFonts w:ascii="Times New Roman" w:hAnsi="Times New Roman" w:cs="Times New Roman"/>
                <w:sz w:val="28"/>
                <w:szCs w:val="28"/>
              </w:rPr>
            </w:pPr>
            <w:r>
              <w:rPr>
                <w:rFonts w:cs="Times New Roman" w:ascii="Times New Roman" w:hAnsi="Times New Roman"/>
                <w:sz w:val="28"/>
                <w:szCs w:val="28"/>
              </w:rPr>
              <w:t>МКУ «Центр бюджетного учета Тимского района Курской области</w:t>
            </w:r>
          </w:p>
        </w:tc>
      </w:tr>
      <w:tr>
        <w:trPr/>
        <w:tc>
          <w:tcPr>
            <w:tcW w:w="3288"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Подпрограммы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ConsPlusNormal"/>
              <w:widowControl w:val="false"/>
              <w:jc w:val="both"/>
              <w:rPr/>
            </w:pPr>
            <w:hyperlink r:id="rId3">
              <w:r>
                <w:rPr>
                  <w:rFonts w:cs="Times New Roman" w:ascii="Times New Roman" w:hAnsi="Times New Roman"/>
                  <w:sz w:val="28"/>
                  <w:szCs w:val="28"/>
                </w:rPr>
                <w:t>подпрограмма 1</w:t>
              </w:r>
            </w:hyperlink>
            <w:r>
              <w:rPr>
                <w:rFonts w:cs="Times New Roman" w:ascii="Times New Roman" w:hAnsi="Times New Roman"/>
                <w:sz w:val="28"/>
                <w:szCs w:val="28"/>
              </w:rPr>
              <w:t xml:space="preserve"> «Создание и развитие инфраструктуры на сельских территориях»</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Цели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 обеспечение ввода в действие распределительных газовых сетей, локальных водопроводов, а также реализации проектов комплексного обустройства площадок под компактную жилищную застройку;</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 обеспечение ввода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Задачи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 повышение доступности и качества предоставляемых сельским гражданам социально-культурных, торгово-бытовых и государственных услуг путем развития дорожно-транспортных и информационно-телекоммуникационных сетей, мобильных и дистанционных форм обслуживания, укрепления и модернизации материально-технической базы образования, здравоохранения, культуры, физкультуры и спорта и т.д.;</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 создание экологически безопасных условий жизнедеятельности в сельских поселениях, сохранение, восстановление и наращивание человеческого, культурного и природного потенциала сельских территорий;</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3. повышение привлекательности жизни в сельской местности для переселения горожан и соотечественников из-за рубежа;</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4. повышение уровня научно-информационного и методического обеспечения комплексного развития сельских территорий.</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Целевые индикаторы и показатели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1. Количество реализованных проектов комплексного развития сельских территорий (сельских агломераций);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 Ввод в эксплуатацию автомобильных дорог;</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3. Ввод в действие распределительных газовых сетей в сельской местности;</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4. Ввод в действие локальных водопроводов в сельской местности.</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Этапы и сроки реализации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r>
          </w:p>
        </w:tc>
        <w:tc>
          <w:tcPr>
            <w:tcW w:w="5387" w:type="dxa"/>
            <w:tcBorders/>
            <w:vAlign w:val="center"/>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Один этап, 2020-2026 годы</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Объемы бюджетных ассигнований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Финансирование мероприятий программы  составляет 25038,27839 тыс. рублей, в том числе по годам:</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2020 год – 17153,69039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2021 год – 217,000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2022 год – 2945,244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2023 год — 2945,244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2024 год — 1777,100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2025 год - 0,000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2026 год — 0,000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Общий объем финансовых средств подпрограммы 1 составляет 25038,27839 тыс. рублей, в том числе по годам:</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2020 год – 17153,69039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2021 год – 217,000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2022 год – 2945,244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2023 год — 2945,244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2024 год - 1777,100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2025 год - 0,000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2026 год — 0,000 тыс. рублей.</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Ожидаемые результаты реализации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 реализация проектов комплексного развития сельских территорий;</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 ввод в эксплуатацию автомобильные дороги общего пользования с твердым покрытием, ведущие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3. ввод в действие распределительных газовых сетей;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4. ввод в действие локальных водопроводов.</w:t>
            </w:r>
          </w:p>
        </w:tc>
      </w:tr>
    </w:tbl>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t>I. Общая характеристика сферы реализации муниципальной</w:t>
      </w:r>
    </w:p>
    <w:p>
      <w:pPr>
        <w:pStyle w:val="ConsPlusTitle"/>
        <w:jc w:val="center"/>
        <w:rPr>
          <w:rFonts w:ascii="Times New Roman" w:hAnsi="Times New Roman" w:cs="Times New Roman"/>
          <w:sz w:val="28"/>
          <w:szCs w:val="28"/>
        </w:rPr>
      </w:pPr>
      <w:r>
        <w:rPr>
          <w:rFonts w:cs="Times New Roman" w:ascii="Times New Roman" w:hAnsi="Times New Roman"/>
          <w:sz w:val="28"/>
          <w:szCs w:val="28"/>
        </w:rPr>
        <w:t>программы, в том числе формулировки основных проблем</w:t>
      </w:r>
    </w:p>
    <w:p>
      <w:pPr>
        <w:pStyle w:val="ConsPlusTitle"/>
        <w:jc w:val="center"/>
        <w:rPr>
          <w:rFonts w:ascii="Times New Roman" w:hAnsi="Times New Roman" w:cs="Times New Roman"/>
          <w:sz w:val="28"/>
          <w:szCs w:val="28"/>
        </w:rPr>
      </w:pPr>
      <w:r>
        <w:rPr>
          <w:rFonts w:cs="Times New Roman" w:ascii="Times New Roman" w:hAnsi="Times New Roman"/>
          <w:sz w:val="28"/>
          <w:szCs w:val="28"/>
        </w:rPr>
        <w:t>в указанной сфере и прогноз ее развития</w:t>
      </w:r>
    </w:p>
    <w:p>
      <w:pPr>
        <w:pStyle w:val="Normal"/>
        <w:spacing w:lineRule="auto" w:line="240" w:before="280" w:after="0"/>
        <w:ind w:firstLine="540"/>
        <w:jc w:val="both"/>
        <w:rPr/>
      </w:pPr>
      <w:r>
        <w:rPr>
          <w:rFonts w:cs="Times New Roman" w:ascii="Times New Roman" w:hAnsi="Times New Roman"/>
          <w:sz w:val="28"/>
          <w:szCs w:val="28"/>
        </w:rPr>
        <w:t>Муниципальная программа «Комплексное развитие сельских территорий Тимского района Курской области» (далее - муниципальная программа) определяет цели, задачи и направления развития сельских территорий. Муниципальная программа разработана в соответствии с п</w:t>
      </w:r>
      <w:hyperlink r:id="rId4">
        <w:r>
          <w:rPr>
            <w:rFonts w:cs="Times New Roman" w:ascii="Times New Roman" w:hAnsi="Times New Roman"/>
            <w:sz w:val="28"/>
            <w:szCs w:val="28"/>
          </w:rPr>
          <w:t>остановлением</w:t>
        </w:r>
      </w:hyperlink>
      <w:r>
        <w:rPr>
          <w:rFonts w:cs="Times New Roman" w:ascii="Times New Roman" w:hAnsi="Times New Roman"/>
          <w:sz w:val="28"/>
          <w:szCs w:val="28"/>
        </w:rPr>
        <w:t xml:space="preserve"> Пр</w:t>
      </w:r>
      <w:r>
        <w:rPr>
          <w:rFonts w:cs="Times New Roman" w:ascii="Times New Roman" w:hAnsi="Times New Roman"/>
          <w:color w:val="000000"/>
          <w:sz w:val="28"/>
          <w:szCs w:val="28"/>
        </w:rPr>
        <w:t xml:space="preserve">авительства Российской Федерации от 31 мая 2019 №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 </w:t>
      </w:r>
      <w:hyperlink r:id="rId5">
        <w:r>
          <w:rPr>
            <w:rFonts w:cs="Times New Roman" w:ascii="Times New Roman" w:hAnsi="Times New Roman"/>
            <w:color w:val="000000"/>
            <w:sz w:val="28"/>
            <w:szCs w:val="28"/>
          </w:rPr>
          <w:t>распоряжением</w:t>
        </w:r>
      </w:hyperlink>
      <w:r>
        <w:rPr>
          <w:rFonts w:cs="Times New Roman" w:ascii="Times New Roman" w:hAnsi="Times New Roman"/>
          <w:color w:val="000000"/>
          <w:sz w:val="28"/>
          <w:szCs w:val="28"/>
        </w:rPr>
        <w:t xml:space="preserve"> Администрации Курской области от 24.10.2012 №931-ра «Об утверждении перечня государственных программ Курской области», с</w:t>
      </w:r>
      <w:r>
        <w:rPr>
          <w:rFonts w:cs="Times New Roman" w:ascii="Times New Roman" w:hAnsi="Times New Roman"/>
          <w:b w:val="false"/>
          <w:i w:val="false"/>
          <w:caps w:val="false"/>
          <w:smallCaps w:val="false"/>
          <w:color w:val="000000"/>
          <w:spacing w:val="0"/>
          <w:sz w:val="28"/>
          <w:szCs w:val="28"/>
        </w:rPr>
        <w:t>тратегией</w:t>
      </w:r>
      <w:r>
        <w:rPr>
          <w:rFonts w:cs="Times New Roman" w:ascii="Times New Roman" w:hAnsi="Times New Roman"/>
          <w:color w:val="000000"/>
          <w:sz w:val="28"/>
          <w:szCs w:val="28"/>
        </w:rPr>
        <w:br/>
      </w:r>
      <w:r>
        <w:rPr>
          <w:rFonts w:cs="Times New Roman" w:ascii="Times New Roman" w:hAnsi="Times New Roman"/>
          <w:b w:val="false"/>
          <w:i w:val="false"/>
          <w:caps w:val="false"/>
          <w:smallCaps w:val="false"/>
          <w:color w:val="000000"/>
          <w:spacing w:val="0"/>
          <w:sz w:val="28"/>
          <w:szCs w:val="28"/>
        </w:rPr>
        <w:t>социально-экономического развития муниципального образования "Тимский</w:t>
      </w:r>
      <w:r>
        <w:rPr>
          <w:rFonts w:cs="Times New Roman" w:ascii="Times New Roman" w:hAnsi="Times New Roman"/>
          <w:color w:val="000000"/>
          <w:sz w:val="28"/>
          <w:szCs w:val="28"/>
        </w:rPr>
        <w:br/>
      </w:r>
      <w:r>
        <w:rPr>
          <w:rFonts w:cs="Times New Roman" w:ascii="Times New Roman" w:hAnsi="Times New Roman"/>
          <w:b w:val="false"/>
          <w:i w:val="false"/>
          <w:caps w:val="false"/>
          <w:smallCaps w:val="false"/>
          <w:color w:val="000000"/>
          <w:spacing w:val="0"/>
          <w:sz w:val="28"/>
          <w:szCs w:val="28"/>
        </w:rPr>
        <w:t>район" Курской области до 2030 года утвержденной решением</w:t>
      </w:r>
      <w:r>
        <w:rPr>
          <w:rFonts w:cs="Times New Roman" w:ascii="Times New Roman" w:hAnsi="Times New Roman"/>
          <w:color w:val="000000"/>
          <w:sz w:val="28"/>
          <w:szCs w:val="28"/>
        </w:rPr>
        <w:br/>
      </w:r>
      <w:r>
        <w:rPr>
          <w:rFonts w:cs="Times New Roman" w:ascii="Times New Roman" w:hAnsi="Times New Roman"/>
          <w:b w:val="false"/>
          <w:i w:val="false"/>
          <w:caps w:val="false"/>
          <w:smallCaps w:val="false"/>
          <w:color w:val="000000"/>
          <w:spacing w:val="0"/>
          <w:sz w:val="28"/>
          <w:szCs w:val="28"/>
        </w:rPr>
        <w:t>Представительного Собрания Тимского района Курской области от 13.12.2021 года №67.</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Сельские территории Курской области являются её стратегическим ресурсом, однако отсутствие возможности удовлетворить свои насущные потребности, сложные условия жизни сельского населения, оторванность сельских поселений от научно-технических достижений XXI века, недостаточная вовлеченность сельского населения в практики гражданского общества, слабое развитие транспортной инфраструктуры и средств связи не позволяют реализовать потенциал сельских территории в полной мере.</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На начало 2019 года сельское население Курской области составляло 352,122 тыс. человек (31,8 % населения региона), сократившись по сравнению с 2000 годом на 6,7 тыс. человек.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По состоянию на 01.01.2019 г. на территории Тимского района Курской области проживает 10547 человек. Территория Тимского района поделена на 9-ть муниципальных образований. </w:t>
      </w:r>
      <w:r>
        <w:rPr>
          <w:rFonts w:cs="Times New Roman" w:ascii="Times New Roman" w:hAnsi="Times New Roman"/>
          <w:sz w:val="28"/>
          <w:szCs w:val="28"/>
        </w:rPr>
        <w:t>Административным,  промышленным, хозяйственно-культурным центром является поселок Тим,  расположенный в 65 км от областного центра, в 35 км от железнодорожной станции Щигры.</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Преобладающая часть сельского населения (100 %) проживает в сельских поселениях с численностью до 10 тыс. человек. В отличие от городских и наиболее крупных сельских поселений, они отличаются недостаточно развитой коммуникационной, транспортной и инженерной инфраструктурой, не обладают необходимыми условиями для развития предпринимательства, прежде всего, малого бизнеса, не имеют соответствующей современным условиям базы для оказания сельскому населению образовательных, медицинских, жилищно-коммунальных и социально-культурных услуг. Сельские территории характеризуются высоким уровнем безработицы и бедности. Так, по данным Росстата, по состоянию на 1 января 2018 г.:</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уровень безработицы на сельских территориях – 8% (в городе – 4,3%);</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доля сельского населения с денежными доходами ниже прожиточного минимума – 20% (в городе – 11,2 %);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более 67% жилищного фонда в сельской местности не оборудовано всеми видами благоустройства (в городе – 20,9%);</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более 400 тыс. сельских школьников продолжают обучаться во вторую и третью смены;</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нормативным требованиям отвечают только 53% местных и 43,1% региональных дорог;</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чуть более половины населения имеет скоростной доступ к Интернету (79,5% в городе).</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Основными факторами, тормозящими развитие сельских территорий, являются: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ведомственная разобщенность в управлении сельскими территориями, не позволяющая реализовать комплексный подход к развитию сельских территорий в преодолении бедности, неравенства и безработицы;</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узкоотраслевой аграрный подход к развитию экономики села, обуславливающий низкий уровень диверсификации сельской экономики;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ограничение доступа жителей села к объектам социальной и инженерной инфраструктуры;</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слабое развитие институтов гражданского общества в сельской местности, прежде всего, местного самоуправления;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недостаточное научное, статистическое и кадровое обеспечение развития сельских территорий;</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низкая транспортная связанность центров экономического роста между собой и с другими территориями, недостаточный уровень интегрированности различных видов транспорта и нереализованный транзитный потенциал Российской Федерации.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Муниципальная программа определяет цели, задачи, направления комплексного развития сельских территорий, объёмы финансового обеспечения и механизмы реализации мероприятий,  а также их целевые показатели.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Прогноз реализации муниципальной программы основывается на расчете достижимости значений целевых показателей и включённых в неё подпрограмм.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Динамика развития сельских территорий будет формироваться под воздействием различных факторов. Объективные различия в уровне социально-экономического развития сельских и городских территорий будут являться основной причиной дальнейшей миграции сельского населения в город. Вместе тем, ряд решений, предусмотренных муниципальной программой по повышению качества жизни на сельских территориях, позволит замедлить данную тенденцию, обеспечить сохранение численности сельского населения, в том числе молодежи, способствовать повышению уровня благосостояния населения.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В прогнозный период наметятся следующие значимые тенденции: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стабилизация численности населения, проживающего на сельских территориях;</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уровня благосостояния и снижение уровня бедности сельского населения;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уровня занятости сельского населения;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развитие малого предпринимательства, диверсификация сельской экономики;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ускоренное развитие социальной, инженерной, коммунальной инфраструктуры на сельских территориях и доведение уровня комфортности проживания на сельских территориях до городского уровня;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социальной ответственности бизнеса путем его привлечения к реализации социально значимых проектов;</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улучшение экологической ситуации.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II. Приоритеты государственной политики в сфере реализации муниципальной программы, цели, задачи и показатели (индикаторы) достижения целей и решения задач, описание основных ожидаемых конечных результатов муниципальной программы, сроков и этапов реализации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Приоритетами муниципальной программы являются: комплексное развитие сельских территорий, повышение благосостояния, уровня жизни и занятости граждан.</w:t>
      </w:r>
    </w:p>
    <w:p>
      <w:pPr>
        <w:pStyle w:val="Normal"/>
        <w:spacing w:lineRule="auto" w:line="240" w:before="0" w:after="0"/>
        <w:ind w:firstLine="709"/>
        <w:jc w:val="both"/>
        <w:rPr/>
      </w:pPr>
      <w:r>
        <w:rPr>
          <w:rFonts w:cs="Times New Roman" w:ascii="Times New Roman" w:hAnsi="Times New Roman"/>
          <w:sz w:val="28"/>
          <w:szCs w:val="28"/>
        </w:rPr>
        <w:t xml:space="preserve">Муниципальная программа базируется на положениях Федерального </w:t>
      </w:r>
      <w:hyperlink r:id="rId6">
        <w:r>
          <w:rPr>
            <w:rFonts w:cs="Times New Roman" w:ascii="Times New Roman" w:hAnsi="Times New Roman"/>
            <w:sz w:val="28"/>
            <w:szCs w:val="28"/>
          </w:rPr>
          <w:t>закона</w:t>
        </w:r>
      </w:hyperlink>
      <w:r>
        <w:rPr>
          <w:rFonts w:cs="Times New Roman" w:ascii="Times New Roman" w:hAnsi="Times New Roman"/>
          <w:sz w:val="28"/>
          <w:szCs w:val="28"/>
        </w:rPr>
        <w:t xml:space="preserve"> «О развитии сельского хозяйства», Стратегии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2 февраля 2015 г. № 151-р (далее – Стратегия). Стратегия направлена на создание условий для обеспечения стабильного повышения качества и уровня жизни сельского населения на основе преимуществ сельского образа жизни, что позволит сохранить социальный и экономический потенциал сельских территорий и обеспечит выполнение ими общенациональных функций – производственной, демографической, трудоресурсной, пространственно-коммуникационной, сохранения историко-культурных основ идентичности народов страны, поддержания социального контроля и освоенности сельских территорий.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Целями муниципальной программы являются: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обеспечение ввода в действие распределительных газовых сетей, локальных водопроводов, а также реализации проектов комплексного обустройства площадок под компактную жилищную застройку;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обеспечение ввода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Для достижения указанных целей необходимо выполнить задачи, которые определены паспортом муниципальной программы и паспортом подпрограммы, включенную в муниципальную программу.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Показатели (индикаторы) реализации муниципальной программы оцениваются в целом для муниципальной программы и по ее подпрограмме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Реализация предусмотренных муниципальной программой мероприятий будет способствовать созданию условий для комплексного развития сельских территорий и обеспечит достижение следующих положительных результатов, определяющих ее социально-экономическую эффективность:</w:t>
      </w:r>
    </w:p>
    <w:p>
      <w:pPr>
        <w:pStyle w:val="Normal"/>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улучшение жилищных условий сельских семей;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обустройство инженерной инфраструктурой и благоустройством площадок, расположенных на сельских территориях, под компактную жилищную застройку;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обеспечение реализации проектов по комплексному обустройству сельских территорий (агломераций);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снижение среднего радиуса доступности сельскому населению фельдшерско-акушерских пунктов до 6 км, что будет обеспечивать нормативную транспортную доступность;</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повышение доли сельского населения, систематически занимающегося физической культурой и спортом, до 55 процентов;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доведение уровня газификации жилых домов (квартир) газом на сельских территориях до 99,9 процентов;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обеспечение не менее 80 процентов всего сельского населения качественной питьевой водой;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снижение доли автомобильных дорог общего пользования (местного значения), не отвечающих нормативным требованиям, до 40,2 процентов.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целом использование комплексного подхода к повышению уровня комфортности проживания на сельских территориях будет способствовать созданию благоприятных условий для повышения инвестиционной активности, созданию новых рабочих мест с учетом применения современных технологий в организации труда, повышению налогооблагаемой базы бюджетов муниципальных образований и обеспечению роста сельской экономики в целом.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Муниципальную программу предполагается реализовать в один этап - в 2020 - 2026 годах.</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III. Сведения о показателях и индикаторах</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муниципальной программы</w:t>
      </w:r>
    </w:p>
    <w:p>
      <w:pPr>
        <w:pStyle w:val="Normal"/>
        <w:spacing w:lineRule="auto" w:line="240" w:before="0" w:after="0"/>
        <w:ind w:firstLine="709"/>
        <w:jc w:val="both"/>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Сведения о показателях (индикаторах) муниципальной программы, подпрограммы муниципальной программы и их значениях приведены в приложении №1 к муниципальной программе.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Значения данных показателей (индикаторов) муниципальной программы характеризуют конечные общественно значимые результаты, непосредственные результаты и уровень удовлетворенности потребителей оказываемыми участниками муниципальной программы муниципальными услугами (работами), их объемом и качеством.</w:t>
      </w:r>
    </w:p>
    <w:p>
      <w:pPr>
        <w:pStyle w:val="Normal"/>
        <w:spacing w:lineRule="auto" w:line="240" w:before="0" w:after="0"/>
        <w:ind w:firstLine="709"/>
        <w:jc w:val="both"/>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IV. Обобщенная характеристика основных мероприятий муниципальной программы и ведомственных целевых программ, подпрограмм муниципальной программы</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Основные мероприятия подпрограммы муниципальной программы предусматривают комплекс взаимосвязанных мер, направленных на достижение целей муниципальной программы, а также на решение наиболее важных текущих и перспективных задач, обеспечивающих комплексное развитие сельских территорий.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Муниципальной программой не предусматривается реализация ведомственных целевых программ.</w:t>
      </w:r>
    </w:p>
    <w:p>
      <w:pPr>
        <w:pStyle w:val="Normal"/>
        <w:spacing w:lineRule="auto" w:line="240" w:before="0" w:after="0"/>
        <w:ind w:firstLine="709"/>
        <w:jc w:val="both"/>
        <w:rPr/>
      </w:pPr>
      <w:hyperlink r:id="rId7">
        <w:r>
          <w:rPr>
            <w:rFonts w:cs="Times New Roman" w:ascii="Times New Roman" w:hAnsi="Times New Roman"/>
            <w:sz w:val="28"/>
            <w:szCs w:val="28"/>
          </w:rPr>
          <w:t>Перечень</w:t>
        </w:r>
      </w:hyperlink>
      <w:r>
        <w:rPr>
          <w:rFonts w:cs="Times New Roman" w:ascii="Times New Roman" w:hAnsi="Times New Roman"/>
          <w:sz w:val="28"/>
          <w:szCs w:val="28"/>
        </w:rPr>
        <w:t xml:space="preserve"> основных мероприятий муниципальной программы, подпрограммы муниципальной программы приведен в приложении № 2 к муниципальной программе.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V. Обобщенная характеристика основных мероприятий,</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реализуемых муниципальными образованиями Тимского района Курской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pPr>
      <w:r>
        <w:rPr>
          <w:rFonts w:cs="Times New Roman" w:ascii="Times New Roman" w:hAnsi="Times New Roman"/>
          <w:sz w:val="28"/>
          <w:szCs w:val="28"/>
        </w:rPr>
        <w:t>Мероприятия, осуществляемые муниципальными образованиями Тимского района Курской области в рамках реализации муниципальной программы не предусмотрены.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0"/>
        <w:rPr>
          <w:rFonts w:ascii="Times New Roman" w:hAnsi="Times New Roman" w:cs="Times New Roman"/>
          <w:b/>
          <w:b/>
          <w:bCs/>
          <w:sz w:val="28"/>
          <w:szCs w:val="28"/>
        </w:rPr>
      </w:pPr>
      <w:r>
        <w:rPr>
          <w:rFonts w:cs="Times New Roman" w:ascii="Times New Roman" w:hAnsi="Times New Roman"/>
          <w:b/>
          <w:bCs/>
          <w:sz w:val="28"/>
          <w:szCs w:val="28"/>
        </w:rPr>
        <w:t>V</w:t>
      </w:r>
      <w:r>
        <w:rPr>
          <w:rFonts w:cs="Times New Roman" w:ascii="Times New Roman" w:hAnsi="Times New Roman"/>
          <w:b/>
          <w:bCs/>
          <w:sz w:val="28"/>
          <w:szCs w:val="28"/>
          <w:lang w:val="en-US"/>
        </w:rPr>
        <w:t>I</w:t>
      </w:r>
      <w:r>
        <w:rPr>
          <w:rFonts w:cs="Times New Roman" w:ascii="Times New Roman" w:hAnsi="Times New Roman"/>
          <w:b/>
          <w:bCs/>
          <w:sz w:val="28"/>
          <w:szCs w:val="28"/>
        </w:rPr>
        <w:t>. Информация об участии предприятий и организаций</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независимо от их организационно-правовых форм и форм</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собственности, а также государственных внебюджетных фондов</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в реализации муниципальной программы</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Муниципальная программа комплексного развития сельских территорий адресована следующим целевым группам:</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жители сельских населенных пунктов и малых городов, группы жителей сельских населенных пунктов и малых городов;</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жители городов, желающие переселиться на сельские территории;</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органы территориального общественного самоуправления на сельской территории;</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индивидуальные предприниматели, юридические лица, осуществляющие предпринимательскую деятельность на сельской территории;</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коммерческие объединения (кооперативы) жителей сельских населенных пунктов;</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некоммерческие объединения (кооперативы) жителей сельских населенных пунктов, индивидуальных предпринимателей, юридических лиц, осуществляющих предпринимательскую деятельность на сельской территории;</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некоммерческие организации, осуществляющие деятельность на сельской территории или в пользу жителей сельских населенных пунктов;</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органы местного самоуправления на сельской территории;</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государственные или муниципальные бюджетные и автономные учреждения.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bookmarkStart w:id="1" w:name="Par165"/>
      <w:bookmarkStart w:id="2" w:name="Par165"/>
      <w:bookmarkEnd w:id="2"/>
    </w:p>
    <w:p>
      <w:pPr>
        <w:pStyle w:val="Normal"/>
        <w:numPr>
          <w:ilvl w:val="0"/>
          <w:numId w:val="0"/>
        </w:numPr>
        <w:spacing w:lineRule="auto" w:line="240" w:before="0" w:after="0"/>
        <w:ind w:left="0" w:hanging="0"/>
        <w:jc w:val="center"/>
        <w:outlineLvl w:val="0"/>
        <w:rPr>
          <w:rFonts w:ascii="Times New Roman" w:hAnsi="Times New Roman" w:cs="Times New Roman"/>
          <w:b/>
          <w:b/>
          <w:bCs/>
          <w:sz w:val="28"/>
          <w:szCs w:val="28"/>
        </w:rPr>
      </w:pPr>
      <w:r>
        <w:rPr>
          <w:rFonts w:cs="Times New Roman" w:ascii="Times New Roman" w:hAnsi="Times New Roman"/>
          <w:b/>
          <w:bCs/>
          <w:sz w:val="28"/>
          <w:szCs w:val="28"/>
          <w:lang w:val="en-US"/>
        </w:rPr>
        <w:t>VII</w:t>
      </w:r>
      <w:r>
        <w:rPr>
          <w:rFonts w:cs="Times New Roman" w:ascii="Times New Roman" w:hAnsi="Times New Roman"/>
          <w:b/>
          <w:bCs/>
          <w:sz w:val="28"/>
          <w:szCs w:val="28"/>
        </w:rPr>
        <w:t>. Обоснование выделения подпрограмм</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Перечень подпрограмм установлен для достижения целей и решения задач комплексного развития сельских территорий,  а именно: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приближение условий жизнедеятельности в сельских поселениях к городским стандартам при сохранении особенностей сельского расселения, застройки и образа жизни;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расширение социально-экономических и трудовых связей села с малыми городами и поселками городского типа, формирование единых сельско-городских рынков труда, систем социально-культурного и торгово-бытового обслуживания населения;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уровня занятости сельского населения, содействие созданию новых рабочих мест путем формирования благоприятных инфраструктурных условий для развития сельскохозяйственной и альтернативной деятельности;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уровня и диверсификация источников доходов сельского населения, снижение масштабов бедности на сельских территориях;</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доступности и качества предоставляемых сельским гражданам социально-культурных, торгово-бытовых и государственных услуг путем развития дорожно-транспортных и информационно-телекоммуникационных сетей, мобильных и дистанционных форм обслуживания, укрепления и модернизации материально-технической базы образования, здравоохранения, культуры, физкультуры и спорта и т.д.;</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создание экологически безопасных условий жизнедеятельности в сельских поселениях, сохранение, восстановление и наращивание человеческого, культурного и природного потенциала сельских территорий;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привлекательности жизни в сельской местности для переселения горожан и соотечественников из-за рубежа;</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повышение уровня научно-информационного и методического обеспечения комплексного развития сельских территорий.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rPr>
        <w:t xml:space="preserve">Состав подпрограмм рассчитан на комплексное развитие сельских территорий района, а также на </w:t>
      </w:r>
      <w:r>
        <w:rPr>
          <w:rFonts w:cs="Times New Roman" w:ascii="Times New Roman" w:hAnsi="Times New Roman"/>
          <w:sz w:val="28"/>
          <w:szCs w:val="28"/>
          <w:lang w:eastAsia="ru-RU"/>
        </w:rPr>
        <w:t>повышение качества жизни на сельских территориях,  обеспечение сохранения численности сельского населения, в том числе молодежи, повышение уровня благосостояния населения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firstLine="709"/>
        <w:jc w:val="center"/>
        <w:outlineLvl w:val="0"/>
        <w:rPr>
          <w:rFonts w:ascii="Times New Roman" w:hAnsi="Times New Roman" w:cs="Times New Roman"/>
          <w:b/>
          <w:b/>
          <w:bCs/>
          <w:sz w:val="28"/>
          <w:szCs w:val="28"/>
        </w:rPr>
      </w:pPr>
      <w:r>
        <w:rPr>
          <w:rFonts w:cs="Times New Roman" w:ascii="Times New Roman" w:hAnsi="Times New Roman"/>
          <w:b/>
          <w:bCs/>
          <w:sz w:val="28"/>
          <w:szCs w:val="28"/>
          <w:lang w:val="en-US"/>
        </w:rPr>
        <w:t>VIII</w:t>
      </w:r>
      <w:r>
        <w:rPr>
          <w:rFonts w:cs="Times New Roman" w:ascii="Times New Roman" w:hAnsi="Times New Roman"/>
          <w:b/>
          <w:bCs/>
          <w:sz w:val="28"/>
          <w:szCs w:val="28"/>
        </w:rPr>
        <w:t>. Обоснование объема финансовых ресурсов, необходимых</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для реализации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Объем финансовых ресурсов, необходимых для реализации муниципальной программы, рассчитывается исходя из необходимости достижения запланированных целевых показателей мунпрограммы, с учетом достижения целей и задач подпрограммы муниципальной программы и привлечения в порядке софинансирования средств федерального бюджета, областного и местных бюджетов, а также внебюджетных источников.</w:t>
      </w:r>
    </w:p>
    <w:p>
      <w:pPr>
        <w:pStyle w:val="Normal"/>
        <w:spacing w:lineRule="auto" w:line="240" w:before="0" w:after="0"/>
        <w:ind w:firstLine="709"/>
        <w:jc w:val="both"/>
        <w:rPr/>
      </w:pPr>
      <w:r>
        <w:rPr>
          <w:rFonts w:cs="Times New Roman" w:ascii="Times New Roman" w:hAnsi="Times New Roman"/>
          <w:sz w:val="28"/>
          <w:szCs w:val="28"/>
        </w:rPr>
        <w:t xml:space="preserve">Ресурсное </w:t>
      </w:r>
      <w:hyperlink r:id="rId8">
        <w:r>
          <w:rPr>
            <w:rFonts w:cs="Times New Roman" w:ascii="Times New Roman" w:hAnsi="Times New Roman"/>
            <w:sz w:val="28"/>
            <w:szCs w:val="28"/>
          </w:rPr>
          <w:t>обеспечение</w:t>
        </w:r>
      </w:hyperlink>
      <w:r>
        <w:rPr>
          <w:rFonts w:cs="Times New Roman" w:ascii="Times New Roman" w:hAnsi="Times New Roman"/>
          <w:sz w:val="28"/>
          <w:szCs w:val="28"/>
        </w:rPr>
        <w:t xml:space="preserve"> и прогнозная (справочная) оценка расходов федерального бюджета, областного бюджета, бюджетов государственных внебюджетных фондов, местных бюджетов и внебюджетных источников на реализацию целей муниципальной программы приведены в приложении            № 6 к муниципальной программе.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lang w:val="en-US"/>
        </w:rPr>
        <w:t>I</w:t>
      </w:r>
      <w:r>
        <w:rPr>
          <w:rFonts w:cs="Times New Roman" w:ascii="Times New Roman" w:hAnsi="Times New Roman"/>
          <w:b/>
          <w:bCs/>
          <w:sz w:val="28"/>
          <w:szCs w:val="28"/>
        </w:rPr>
        <w:t>X. Оценка степени влияния выделения дополнительных объемов</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ресурсов на показатели (индикаторы) муниципальной</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программы (подпрограммы), состав и основные характеристики</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ведомственных целевых программ и основных мероприятий</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подпрограмм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Достижение плановых значений показателей (индикаторов) муниципальной программы, подпрограмм муниципальной программы будет обеспечено при условии их финансирования в 2020 - 2026 годах в объеме, указанном в паспорте муниципальной программы, с учетом корректировки бюджетных ассигнований на реализацию муниципальной программы исходя из предложений исполнителя и участников муниципальной программы при формировании бюджета на очередной финансовый год и плановый период.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lang w:val="en-US"/>
        </w:rPr>
        <w:t>X</w:t>
      </w:r>
      <w:r>
        <w:rPr>
          <w:rFonts w:cs="Times New Roman" w:ascii="Times New Roman" w:hAnsi="Times New Roman"/>
          <w:b/>
          <w:bCs/>
          <w:sz w:val="28"/>
          <w:szCs w:val="28"/>
        </w:rPr>
        <w:t>. Анализ рисков реализации муниципальной программы  и описание мер управления  рисками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 реализации муниципальной программы осуществляются меры, направленные на снижение последствий рисков и повышение уровня гарантированности достижения предусмотренных в ней конечных результатов.</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Муниципальная программа предполагает реализацию мероприятий, направленных на достижение определенных Стратегией пространственного развития целей: «снижение внутрирегиональных социально-экономических различий за счет повышения устойчивости системы расселения путем социально-экономического развития сельских территорий, повышение качества жизни, в том числе путем совершенствования территориальной организации оказания услуг отраслей социальной сферы».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Среди основных проблем, социальных и финансово-экономических рисков развития сельских территорий можно выделить следующие: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снижение уровня жизни всего населения региона в силу политических или макроэкономических причин;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rPr>
        <w:t>бюджетный дефицит и сокращение финансирования муниципальной программы</w:t>
      </w:r>
      <w:r>
        <w:rPr>
          <w:rFonts w:cs="Times New Roman" w:ascii="Times New Roman" w:hAnsi="Times New Roman"/>
          <w:sz w:val="28"/>
          <w:szCs w:val="28"/>
          <w:lang w:eastAsia="ru-RU"/>
        </w:rPr>
        <w:t>.</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низкий уровень активности потенциальных участников муниципальной программы в предложении инициативных проектов;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Управление рисками реализации муниципальной программы будет осуществляться на основе проведения мониторинга угроз развитию агропромышленного комплекса и обеспечению продовольственной безопасности, выработки прогнозов и представления в Администрацию Тимского района Курской области предложений в сфере управления агропромышленным комплексом, в том числе в рамках годового отчета о ходе реализации и оценки эффективности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lang w:val="en-US"/>
        </w:rPr>
        <w:t>XI</w:t>
      </w:r>
      <w:r>
        <w:rPr>
          <w:rFonts w:cs="Times New Roman" w:ascii="Times New Roman" w:hAnsi="Times New Roman"/>
          <w:b/>
          <w:bCs/>
          <w:sz w:val="28"/>
          <w:szCs w:val="28"/>
        </w:rPr>
        <w:t xml:space="preserve">. Методика оценки эффективности </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 xml:space="preserve">муниципальной программы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 Оценка эффективности реализации муниципальной программы производится ежегодно. Результаты оценки эффективности реализации муниципальной программы представляются в составе годового отчета ответственного исполнителя муниципальной программы о ходе ее реализации и об оценке эффективности.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 Оценка эффективности муниципальной программы производится с учетом следующих составляющих:</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степени достижения целей и решения задач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степени достижения целей и решения задач подпрограммы;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степени реализации основных мероприятий и достижения ожидаемых непосредственных результатов их реализации (далее - оценка степени реализации мероприятий);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степени соответствия запланированному уровню затрат;</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эффективности использования средств бюджета.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3. Оценка эффективности реализации муниципальной программы осуществляется в два этапа.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4. На первом этапе осуществляется оценка эффективности реализации подпрограммы, которая определяется с учетом оценки степени достижения целей и решения задач подпрограммы, оценки степени реализации мероприятий, оценки степени соответствия запланированному уровню затрат и оценки эффективности использования средств бюджета.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5. На втором этапе осуществляется оценка эффективности реализации муниципальной программы, которая определяется с учетом оценки степени достижения целей и решения задач муниципальной программы и оценки эффективности реализации подпрограммы.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6. Степень реализации мероприятий оценивается для подпрограммы как доля мероприятий, выполненных в полном объеме, по следующей формуле:</w:t>
      </w:r>
    </w:p>
    <w:p>
      <w:pPr>
        <w:pStyle w:val="Normal"/>
        <w:numPr>
          <w:ilvl w:val="0"/>
          <w:numId w:val="0"/>
        </w:numPr>
        <w:spacing w:lineRule="auto" w:line="240" w:before="0" w:after="0"/>
        <w:ind w:left="0" w:firstLine="709"/>
        <w:jc w:val="both"/>
        <w:outlineLvl w:val="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СРм = Мв / 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СРм - степень реализации мероприятий;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Мв - количество мероприятий, выполненных в полном объеме, из числа мероприятий, запланированных к реализации в отчетном году;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 - общее количество мероприятий, запланированных к реализации в отчетном году.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эффективности реализации муниципальной программы осуществляется путем расчета степени реализации мероприятий.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Степень реализации мероприятий рассчитывается для всех мероприятий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7. Мероприятие может считаться выполненным в полном объеме при достижении следующих результатов:</w:t>
      </w:r>
    </w:p>
    <w:p>
      <w:pPr>
        <w:pStyle w:val="Normal"/>
        <w:spacing w:lineRule="auto" w:line="240" w:before="0" w:after="0"/>
        <w:ind w:firstLine="709"/>
        <w:jc w:val="both"/>
        <w:rPr/>
      </w:pPr>
      <w:r>
        <w:rPr>
          <w:rFonts w:cs="Times New Roman" w:ascii="Times New Roman" w:hAnsi="Times New Roman"/>
          <w:sz w:val="28"/>
          <w:szCs w:val="28"/>
        </w:rPr>
        <w:t xml:space="preserve">мероприятие, результаты которого оцениваются на основании числовых (в абсолютных или относительных величинах) значений показателей (индикаторов) </w:t>
      </w:r>
      <w:hyperlink w:anchor="Par23">
        <w:r>
          <w:rPr>
            <w:rFonts w:cs="Times New Roman"/>
            <w:szCs w:val="28"/>
          </w:rPr>
          <w:t>&lt;1&gt;</w:t>
        </w:r>
      </w:hyperlink>
      <w:r>
        <w:rPr>
          <w:rFonts w:cs="Times New Roman" w:ascii="Times New Roman" w:hAnsi="Times New Roman"/>
          <w:sz w:val="28"/>
          <w:szCs w:val="28"/>
        </w:rPr>
        <w:t xml:space="preserve">, считается выполненным в полном объеме, если фактически достигнутое значение показателя (индикатора) составляет не менее 95% от запланированного и не хуже, чем значение показателя (индикатора), достигнутое в году, предшествующем отчетному, с учетом корректировки объемов финансирования по мероприятию </w:t>
      </w:r>
      <w:hyperlink w:anchor="Par24">
        <w:r>
          <w:rPr>
            <w:rFonts w:cs="Times New Roman"/>
            <w:szCs w:val="28"/>
          </w:rPr>
          <w:t>&lt;2&gt;</w:t>
        </w:r>
      </w:hyperlink>
      <w:r>
        <w:rPr>
          <w:rFonts w:cs="Times New Roman" w:ascii="Times New Roman" w:hAnsi="Times New Roman"/>
          <w:sz w:val="28"/>
          <w:szCs w:val="28"/>
        </w:rPr>
        <w:t>. В том случае, когда для описания результатов реализации мероприятия используется несколько показателей (индикаторов),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pPr>
        <w:pStyle w:val="Normal"/>
        <w:spacing w:lineRule="auto" w:line="240" w:before="0" w:after="0"/>
        <w:ind w:firstLine="709"/>
        <w:jc w:val="both"/>
        <w:rPr>
          <w:rFonts w:ascii="Times New Roman" w:hAnsi="Times New Roman" w:cs="Times New Roman"/>
          <w:i/>
          <w:i/>
          <w:iCs/>
          <w:sz w:val="28"/>
          <w:szCs w:val="28"/>
        </w:rPr>
      </w:pPr>
      <w:bookmarkStart w:id="3" w:name="Par23"/>
      <w:bookmarkEnd w:id="3"/>
      <w:r>
        <w:rPr>
          <w:rFonts w:cs="Times New Roman" w:ascii="Times New Roman" w:hAnsi="Times New Roman"/>
          <w:i/>
          <w:iCs/>
          <w:sz w:val="28"/>
          <w:szCs w:val="28"/>
        </w:rPr>
        <w:t>(&lt;1&gt; В случаях, когда в графе «результат мероприятия» зафиксированы количественные значения показателей (индикаторов) на отчетный год, либо в случаях, когда установлена прямая связь между основными мероприятиями и показателями (индикаторами) подпрограмм.</w:t>
      </w:r>
    </w:p>
    <w:p>
      <w:pPr>
        <w:pStyle w:val="Normal"/>
        <w:spacing w:lineRule="auto" w:line="240" w:before="0" w:after="0"/>
        <w:ind w:firstLine="709"/>
        <w:jc w:val="both"/>
        <w:rPr>
          <w:rFonts w:ascii="Times New Roman" w:hAnsi="Times New Roman" w:cs="Times New Roman"/>
          <w:i/>
          <w:i/>
          <w:iCs/>
          <w:sz w:val="28"/>
          <w:szCs w:val="28"/>
        </w:rPr>
      </w:pPr>
      <w:bookmarkStart w:id="4" w:name="Par24"/>
      <w:bookmarkEnd w:id="4"/>
      <w:r>
        <w:rPr>
          <w:rFonts w:cs="Times New Roman" w:ascii="Times New Roman" w:hAnsi="Times New Roman"/>
          <w:i/>
          <w:iCs/>
          <w:sz w:val="28"/>
          <w:szCs w:val="28"/>
        </w:rPr>
        <w:t>&lt;2&gt; Выполнение данного условия подразумевает, что в случае если степень достижения показателя (индикатора) составляет менее 100%, проводится сопоставление значений показателя (индикатора), достигнутого в отчетном году, со значением данного показателя (индикатора), достигнутого в году, предшествующем отчетному. В случае ухудшения значения показателя (индикатора) по сравнению с предыдущим периодом (т.е. при снижении значения показателя (индикатора) по показателю (индикатору), желаемой тенденцией развития которого является рост, и при росте значения показателя (индикатора), желаемой тенденцией развития которого является снижение) проводится сопоставление темпов роста данного показателя (индикатора) с темпами роста объемов расходов по рассматриваемому мероприятию. При этом мероприятие может считаться выполненным только в случае, если темпы ухудшения значений показателя ниже темпов сокращения расходов на реализацию мероприятия (например, допускается снижение на 1% значения показателя, если расходы сократились не менее чем на 1% в отчетном году по сравнению с годом, предшествующим отчетному).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8. Степень соответствия запланированному уровню затрат оценивается для подпрограммы как отношение фактически произведенных в отчетном году расходов на реализацию подпрограммы к их плановым значениям по следующей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СС</w:t>
      </w:r>
      <w:r>
        <w:rPr>
          <w:rFonts w:cs="Times New Roman" w:ascii="Times New Roman" w:hAnsi="Times New Roman"/>
          <w:sz w:val="28"/>
          <w:szCs w:val="28"/>
          <w:vertAlign w:val="subscript"/>
        </w:rPr>
        <w:t>уз</w:t>
      </w:r>
      <w:r>
        <w:rPr>
          <w:rFonts w:cs="Times New Roman" w:ascii="Times New Roman" w:hAnsi="Times New Roman"/>
          <w:sz w:val="28"/>
          <w:szCs w:val="28"/>
        </w:rPr>
        <w:t xml:space="preserve"> = З</w:t>
      </w:r>
      <w:r>
        <w:rPr>
          <w:rFonts w:cs="Times New Roman" w:ascii="Times New Roman" w:hAnsi="Times New Roman"/>
          <w:sz w:val="28"/>
          <w:szCs w:val="28"/>
          <w:vertAlign w:val="subscript"/>
        </w:rPr>
        <w:t>ф</w:t>
      </w:r>
      <w:r>
        <w:rPr>
          <w:rFonts w:cs="Times New Roman" w:ascii="Times New Roman" w:hAnsi="Times New Roman"/>
          <w:sz w:val="28"/>
          <w:szCs w:val="28"/>
        </w:rPr>
        <w:t xml:space="preserve"> / З</w:t>
      </w:r>
      <w:r>
        <w:rPr>
          <w:rFonts w:cs="Times New Roman" w:ascii="Times New Roman" w:hAnsi="Times New Roman"/>
          <w:sz w:val="28"/>
          <w:szCs w:val="28"/>
          <w:vertAlign w:val="subscript"/>
        </w:rPr>
        <w:t>п</w:t>
      </w:r>
      <w:r>
        <w:rPr>
          <w:rFonts w:cs="Times New Roman" w:ascii="Times New Roman" w:hAnsi="Times New Roman"/>
          <w:sz w:val="28"/>
          <w:szCs w:val="28"/>
        </w:rPr>
        <w:t>,</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СС</w:t>
      </w:r>
      <w:r>
        <w:rPr>
          <w:rFonts w:cs="Times New Roman" w:ascii="Times New Roman" w:hAnsi="Times New Roman"/>
          <w:sz w:val="28"/>
          <w:szCs w:val="28"/>
          <w:vertAlign w:val="subscript"/>
        </w:rPr>
        <w:t>уз</w:t>
      </w:r>
      <w:r>
        <w:rPr>
          <w:rFonts w:cs="Times New Roman" w:ascii="Times New Roman" w:hAnsi="Times New Roman"/>
          <w:sz w:val="28"/>
          <w:szCs w:val="28"/>
        </w:rPr>
        <w:t xml:space="preserve"> - степень соответствия запланированному уровню расходов;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w:t>
      </w:r>
      <w:r>
        <w:rPr>
          <w:rFonts w:cs="Times New Roman" w:ascii="Times New Roman" w:hAnsi="Times New Roman"/>
          <w:sz w:val="28"/>
          <w:szCs w:val="28"/>
          <w:vertAlign w:val="subscript"/>
        </w:rPr>
        <w:t>ф</w:t>
      </w:r>
      <w:r>
        <w:rPr>
          <w:rFonts w:cs="Times New Roman" w:ascii="Times New Roman" w:hAnsi="Times New Roman"/>
          <w:sz w:val="28"/>
          <w:szCs w:val="28"/>
        </w:rPr>
        <w:t xml:space="preserve"> - фактические расходы на реализацию подпрограммы в отчетном году;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w:t>
      </w:r>
      <w:r>
        <w:rPr>
          <w:rFonts w:cs="Times New Roman" w:ascii="Times New Roman" w:hAnsi="Times New Roman"/>
          <w:sz w:val="28"/>
          <w:szCs w:val="28"/>
          <w:vertAlign w:val="subscript"/>
        </w:rPr>
        <w:t>п</w:t>
      </w:r>
      <w:r>
        <w:rPr>
          <w:rFonts w:cs="Times New Roman" w:ascii="Times New Roman" w:hAnsi="Times New Roman"/>
          <w:sz w:val="28"/>
          <w:szCs w:val="28"/>
        </w:rPr>
        <w:t xml:space="preserve"> - плановые расходы на реализацию подпрограммы в отчетном году.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9. В составе показателя «степень соответствия запланированному уровню расходов» учитываются расходы из всех источников.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качестве плановых расходов из средств бюджета указываются данные по бюджетным ассигнованиям, предусмотренным на реализацию соответствующей подпрограммы в сводной бюджетной росписи бюджета по состоянию на 31 декабря отчетного года.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качестве плановых расходов из средств иных источников используются данные по объемам расходов, предусмотренных за счет соответствующих источников на реализацию подпрограммы в соответствии с действующей на момент проведения оценки эффективности редакцией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10. Эффективность использования средств бюджета рассчитывается для подпрограммы как отношение степени реализации мероприятий к степени соответствия запланированному уровню расходов из средств бюджета по следующей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Э</w:t>
      </w:r>
      <w:r>
        <w:rPr>
          <w:rFonts w:cs="Times New Roman" w:ascii="Times New Roman" w:hAnsi="Times New Roman"/>
          <w:sz w:val="28"/>
          <w:szCs w:val="28"/>
          <w:vertAlign w:val="subscript"/>
        </w:rPr>
        <w:t>ис</w:t>
      </w:r>
      <w:r>
        <w:rPr>
          <w:rFonts w:cs="Times New Roman" w:ascii="Times New Roman" w:hAnsi="Times New Roman"/>
          <w:sz w:val="28"/>
          <w:szCs w:val="28"/>
        </w:rPr>
        <w:t xml:space="preserve"> = СР</w:t>
      </w:r>
      <w:r>
        <w:rPr>
          <w:rFonts w:cs="Times New Roman" w:ascii="Times New Roman" w:hAnsi="Times New Roman"/>
          <w:sz w:val="28"/>
          <w:szCs w:val="28"/>
          <w:vertAlign w:val="subscript"/>
        </w:rPr>
        <w:t>м</w:t>
      </w:r>
      <w:r>
        <w:rPr>
          <w:rFonts w:cs="Times New Roman" w:ascii="Times New Roman" w:hAnsi="Times New Roman"/>
          <w:sz w:val="28"/>
          <w:szCs w:val="28"/>
        </w:rPr>
        <w:t xml:space="preserve"> / СС</w:t>
      </w:r>
      <w:r>
        <w:rPr>
          <w:rFonts w:cs="Times New Roman" w:ascii="Times New Roman" w:hAnsi="Times New Roman"/>
          <w:sz w:val="28"/>
          <w:szCs w:val="28"/>
          <w:vertAlign w:val="subscript"/>
        </w:rPr>
        <w:t>уз</w:t>
      </w:r>
      <w:r>
        <w:rPr>
          <w:rFonts w:cs="Times New Roman" w:ascii="Times New Roman" w:hAnsi="Times New Roman"/>
          <w:sz w:val="28"/>
          <w:szCs w:val="28"/>
        </w:rPr>
        <w:t>,</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Э</w:t>
      </w:r>
      <w:r>
        <w:rPr>
          <w:rFonts w:cs="Times New Roman" w:ascii="Times New Roman" w:hAnsi="Times New Roman"/>
          <w:sz w:val="28"/>
          <w:szCs w:val="28"/>
          <w:vertAlign w:val="subscript"/>
        </w:rPr>
        <w:t>ис</w:t>
      </w:r>
      <w:r>
        <w:rPr>
          <w:rFonts w:cs="Times New Roman" w:ascii="Times New Roman" w:hAnsi="Times New Roman"/>
          <w:sz w:val="28"/>
          <w:szCs w:val="28"/>
        </w:rPr>
        <w:t xml:space="preserve"> - эффективность использования средств бюджета;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м</w:t>
      </w:r>
      <w:r>
        <w:rPr>
          <w:rFonts w:cs="Times New Roman" w:ascii="Times New Roman" w:hAnsi="Times New Roman"/>
          <w:sz w:val="28"/>
          <w:szCs w:val="28"/>
        </w:rPr>
        <w:t xml:space="preserve"> - степень реализации мероприятий, полностью или частично финансируемых из средств бюджета;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СС</w:t>
      </w:r>
      <w:r>
        <w:rPr>
          <w:rFonts w:cs="Times New Roman" w:ascii="Times New Roman" w:hAnsi="Times New Roman"/>
          <w:sz w:val="28"/>
          <w:szCs w:val="28"/>
          <w:vertAlign w:val="subscript"/>
        </w:rPr>
        <w:t>уз</w:t>
      </w:r>
      <w:r>
        <w:rPr>
          <w:rFonts w:cs="Times New Roman" w:ascii="Times New Roman" w:hAnsi="Times New Roman"/>
          <w:sz w:val="28"/>
          <w:szCs w:val="28"/>
        </w:rPr>
        <w:t xml:space="preserve"> - степень соответствия запланированному уровню расходов из средств бюджета.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Если доля финансового обеспечения реализации подпрограммы из средств бюджета составляет менее 75%, по решению ответственного исполнителя показатель оценки эффективности использования средств бюджета может быть заменен на показатель эффективности использования финансовых ресурсов на реализацию подпрограммы.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Данный показатель рассчитывается по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Э</w:t>
      </w:r>
      <w:r>
        <w:rPr>
          <w:rFonts w:cs="Times New Roman" w:ascii="Times New Roman" w:hAnsi="Times New Roman"/>
          <w:sz w:val="28"/>
          <w:szCs w:val="28"/>
          <w:vertAlign w:val="subscript"/>
        </w:rPr>
        <w:t>ис</w:t>
      </w:r>
      <w:r>
        <w:rPr>
          <w:rFonts w:cs="Times New Roman" w:ascii="Times New Roman" w:hAnsi="Times New Roman"/>
          <w:sz w:val="28"/>
          <w:szCs w:val="28"/>
        </w:rPr>
        <w:t xml:space="preserve"> = СР</w:t>
      </w:r>
      <w:r>
        <w:rPr>
          <w:rFonts w:cs="Times New Roman" w:ascii="Times New Roman" w:hAnsi="Times New Roman"/>
          <w:sz w:val="28"/>
          <w:szCs w:val="28"/>
          <w:vertAlign w:val="subscript"/>
        </w:rPr>
        <w:t>м</w:t>
      </w:r>
      <w:r>
        <w:rPr>
          <w:rFonts w:cs="Times New Roman" w:ascii="Times New Roman" w:hAnsi="Times New Roman"/>
          <w:sz w:val="28"/>
          <w:szCs w:val="28"/>
        </w:rPr>
        <w:t xml:space="preserve"> / СС</w:t>
      </w:r>
      <w:r>
        <w:rPr>
          <w:rFonts w:cs="Times New Roman" w:ascii="Times New Roman" w:hAnsi="Times New Roman"/>
          <w:sz w:val="28"/>
          <w:szCs w:val="28"/>
          <w:vertAlign w:val="subscript"/>
        </w:rPr>
        <w:t>уз</w:t>
      </w:r>
      <w:r>
        <w:rPr>
          <w:rFonts w:cs="Times New Roman" w:ascii="Times New Roman" w:hAnsi="Times New Roman"/>
          <w:sz w:val="28"/>
          <w:szCs w:val="28"/>
        </w:rPr>
        <w:t>,</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Э</w:t>
      </w:r>
      <w:r>
        <w:rPr>
          <w:rFonts w:cs="Times New Roman" w:ascii="Times New Roman" w:hAnsi="Times New Roman"/>
          <w:sz w:val="28"/>
          <w:szCs w:val="28"/>
          <w:vertAlign w:val="subscript"/>
        </w:rPr>
        <w:t>ис</w:t>
      </w:r>
      <w:r>
        <w:rPr>
          <w:rFonts w:cs="Times New Roman" w:ascii="Times New Roman" w:hAnsi="Times New Roman"/>
          <w:sz w:val="28"/>
          <w:szCs w:val="28"/>
        </w:rPr>
        <w:t xml:space="preserve"> - эффективность использования финансовых ресурсов на реализацию подпрограммы;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м</w:t>
      </w:r>
      <w:r>
        <w:rPr>
          <w:rFonts w:cs="Times New Roman" w:ascii="Times New Roman" w:hAnsi="Times New Roman"/>
          <w:sz w:val="28"/>
          <w:szCs w:val="28"/>
        </w:rPr>
        <w:t xml:space="preserve"> - степень реализации всех мероприятий подпрограммы;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СС</w:t>
      </w:r>
      <w:r>
        <w:rPr>
          <w:rFonts w:cs="Times New Roman" w:ascii="Times New Roman" w:hAnsi="Times New Roman"/>
          <w:sz w:val="28"/>
          <w:szCs w:val="28"/>
          <w:vertAlign w:val="subscript"/>
        </w:rPr>
        <w:t>уз</w:t>
      </w:r>
      <w:r>
        <w:rPr>
          <w:rFonts w:cs="Times New Roman" w:ascii="Times New Roman" w:hAnsi="Times New Roman"/>
          <w:sz w:val="28"/>
          <w:szCs w:val="28"/>
        </w:rPr>
        <w:t xml:space="preserve"> - степень соответствия запланированному уровню расходов из всех источников.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11. Для оценки степени достижения целей и решения задач (далее - степень реализации) подпрограммы определяется степень достижения плановых значений каждого показателя (индикатора), характеризующего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12. Степень достижения планового значения показателя (индикатора) рассчитывается по следующим формулам:</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для показателей (индикаторов), желаемой тенденцией развития которых является увеличение значений:</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п/пф</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п/пп</w:t>
      </w:r>
      <w:r>
        <w:rPr>
          <w:rFonts w:cs="Times New Roman" w:ascii="Times New Roman" w:hAnsi="Times New Roman"/>
          <w:sz w:val="28"/>
          <w:szCs w:val="28"/>
        </w:rPr>
        <w:t>;</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для показателей (индикаторов), желаемой тенденцией развития которых является снижение значений:</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п/пп</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п/пф</w:t>
      </w:r>
      <w:r>
        <w:rPr>
          <w:rFonts w:cs="Times New Roman" w:ascii="Times New Roman" w:hAnsi="Times New Roman"/>
          <w:sz w:val="28"/>
          <w:szCs w:val="28"/>
        </w:rPr>
        <w:t>,</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 степень достижения планового значения показателя (индикатора, характеризующего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ЗП</w:t>
      </w:r>
      <w:r>
        <w:rPr>
          <w:rFonts w:cs="Times New Roman" w:ascii="Times New Roman" w:hAnsi="Times New Roman"/>
          <w:sz w:val="28"/>
          <w:szCs w:val="28"/>
          <w:vertAlign w:val="subscript"/>
        </w:rPr>
        <w:t>п/пф</w:t>
      </w:r>
      <w:r>
        <w:rPr>
          <w:rFonts w:cs="Times New Roman" w:ascii="Times New Roman" w:hAnsi="Times New Roman"/>
          <w:sz w:val="28"/>
          <w:szCs w:val="28"/>
        </w:rPr>
        <w:t xml:space="preserve"> - значение показателя (индикатора), характеризующего цели и задачи подпрограммы, фактически достигнутое на конец отчетного периода;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ЗП</w:t>
      </w:r>
      <w:r>
        <w:rPr>
          <w:rFonts w:cs="Times New Roman" w:ascii="Times New Roman" w:hAnsi="Times New Roman"/>
          <w:sz w:val="28"/>
          <w:szCs w:val="28"/>
          <w:vertAlign w:val="subscript"/>
        </w:rPr>
        <w:t>п/пп</w:t>
      </w:r>
      <w:r>
        <w:rPr>
          <w:rFonts w:cs="Times New Roman" w:ascii="Times New Roman" w:hAnsi="Times New Roman"/>
          <w:sz w:val="28"/>
          <w:szCs w:val="28"/>
        </w:rPr>
        <w:t xml:space="preserve"> - плановое значение показателя (индикатора), характеризующего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13. Степень реализации подпрограммы рассчитывается по формуле: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drawing>
          <wp:inline distT="0" distB="0" distL="0" distR="0">
            <wp:extent cx="1924685" cy="553085"/>
            <wp:effectExtent l="0" t="0" r="0" b="0"/>
            <wp:docPr id="1" name="Рисунок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4" descr=""/>
                    <pic:cNvPicPr>
                      <a:picLocks noChangeAspect="1" noChangeArrowheads="1"/>
                    </pic:cNvPicPr>
                  </pic:nvPicPr>
                  <pic:blipFill>
                    <a:blip r:embed="rId9"/>
                    <a:stretch>
                      <a:fillRect/>
                    </a:stretch>
                  </pic:blipFill>
                  <pic:spPr bwMode="auto">
                    <a:xfrm>
                      <a:off x="0" y="0"/>
                      <a:ext cx="1924685" cy="553085"/>
                    </a:xfrm>
                    <a:prstGeom prst="rect">
                      <a:avLst/>
                    </a:prstGeom>
                  </pic:spPr>
                </pic:pic>
              </a:graphicData>
            </a:graphic>
          </wp:inline>
        </w:drawing>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 степень реализации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 степень достижения планового значения показателя (индикатора), характеризующего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N - число показателей (индикаторов), характеризующих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При использовании данной формулы в случаях, если 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больше 1, значение 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принимается равным 1.</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При оценке степени реализации подпрограммы ответственным исполнителем могут определяться коэффициенты значимости отдельных показателей (индикаторов) целей и задач. При использовании коэффициентов значимости приведенная выше формула преобразуется в следующую:</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drawing>
          <wp:inline distT="0" distB="0" distL="0" distR="0">
            <wp:extent cx="2086610" cy="553085"/>
            <wp:effectExtent l="0" t="0" r="0" b="0"/>
            <wp:docPr id="2" name="Рисунок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3" descr=""/>
                    <pic:cNvPicPr>
                      <a:picLocks noChangeAspect="1" noChangeArrowheads="1"/>
                    </pic:cNvPicPr>
                  </pic:nvPicPr>
                  <pic:blipFill>
                    <a:blip r:embed="rId10"/>
                    <a:stretch>
                      <a:fillRect/>
                    </a:stretch>
                  </pic:blipFill>
                  <pic:spPr bwMode="auto">
                    <a:xfrm>
                      <a:off x="0" y="0"/>
                      <a:ext cx="2086610" cy="553085"/>
                    </a:xfrm>
                    <a:prstGeom prst="rect">
                      <a:avLst/>
                    </a:prstGeom>
                  </pic:spPr>
                </pic:pic>
              </a:graphicData>
            </a:graphic>
          </wp:inline>
        </w:drawing>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 k</w:t>
      </w:r>
      <w:r>
        <w:rPr>
          <w:rFonts w:cs="Times New Roman" w:ascii="Times New Roman" w:hAnsi="Times New Roman"/>
          <w:sz w:val="28"/>
          <w:szCs w:val="28"/>
          <w:vertAlign w:val="subscript"/>
        </w:rPr>
        <w:t>i</w:t>
      </w:r>
      <w:r>
        <w:rPr>
          <w:rFonts w:cs="Times New Roman" w:ascii="Times New Roman" w:hAnsi="Times New Roman"/>
          <w:sz w:val="28"/>
          <w:szCs w:val="28"/>
        </w:rPr>
        <w:t xml:space="preserve"> - удельный вес, отражающий значимость показателя (индикатора), </w:t>
      </w:r>
      <w:r>
        <w:rPr/>
        <w:drawing>
          <wp:inline distT="0" distB="0" distL="0" distR="0">
            <wp:extent cx="800735" cy="334010"/>
            <wp:effectExtent l="0" t="0" r="0" b="0"/>
            <wp:docPr id="3" name="Рисунок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2" descr=""/>
                    <pic:cNvPicPr>
                      <a:picLocks noChangeAspect="1" noChangeArrowheads="1"/>
                    </pic:cNvPicPr>
                  </pic:nvPicPr>
                  <pic:blipFill>
                    <a:blip r:embed="rId11"/>
                    <a:stretch>
                      <a:fillRect/>
                    </a:stretch>
                  </pic:blipFill>
                  <pic:spPr bwMode="auto">
                    <a:xfrm>
                      <a:off x="0" y="0"/>
                      <a:ext cx="800735" cy="334010"/>
                    </a:xfrm>
                    <a:prstGeom prst="rect">
                      <a:avLst/>
                    </a:prstGeom>
                  </pic:spPr>
                </pic:pic>
              </a:graphicData>
            </a:graphic>
          </wp:inline>
        </w:drawing>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14.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средств бюджета по следующей формуле: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 СР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x Э</w:t>
      </w:r>
      <w:r>
        <w:rPr>
          <w:rFonts w:cs="Times New Roman" w:ascii="Times New Roman" w:hAnsi="Times New Roman"/>
          <w:sz w:val="28"/>
          <w:szCs w:val="28"/>
          <w:vertAlign w:val="subscript"/>
        </w:rPr>
        <w:t>ис</w:t>
      </w:r>
      <w:r>
        <w:rPr>
          <w:rFonts w:cs="Times New Roman" w:ascii="Times New Roman" w:hAnsi="Times New Roman"/>
          <w:sz w:val="28"/>
          <w:szCs w:val="28"/>
        </w:rPr>
        <w:t>,</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 эффективность реализации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 степень реализации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w:t>
      </w:r>
      <w:r>
        <w:rPr>
          <w:rFonts w:cs="Times New Roman" w:ascii="Times New Roman" w:hAnsi="Times New Roman"/>
          <w:sz w:val="28"/>
          <w:szCs w:val="28"/>
          <w:vertAlign w:val="subscript"/>
        </w:rPr>
        <w:t>ис</w:t>
      </w:r>
      <w:r>
        <w:rPr>
          <w:rFonts w:cs="Times New Roman" w:ascii="Times New Roman" w:hAnsi="Times New Roman"/>
          <w:sz w:val="28"/>
          <w:szCs w:val="28"/>
        </w:rPr>
        <w:t xml:space="preserve"> - эффективность использования средств бюджета (либо по решению ответственного исполнителя - эффективность использования финансовых ресурсов на реализацию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15. Эффективность реализации подпрограммы признается высокой, в случае если значение 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составляет не менее 0,9.</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Эффективность реализации подпрограммы признается средней, в случае если значение 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составляет не менее 0,8.</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Эффективность реализации подпрограммы признается удовлетворительной, в случае если значение 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составляет не менее 0,7.</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остальных случаях эффективность реализации подпрограммы признается неудовлетворительной.</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Ответственный исполнитель может устанавливать иные основания для признания эффективности подпрограммы высокой, средней, удовлетворительной и неудовлетворительной, в том числе на основе определения пороговых значений показателей (индикаторов)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16. Для оценки степени достижения целей и решения задач (далее - степень реализации) муниципальной программы определяется степень достижения плановых значений каждого показателя (индикатора), характеризующего цели и задачи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17. Степень достижения планового значения показателя (индикатора), характеризующего цели и задачи муниципальной программы, рассчитывается по следующим формулам:</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для показателей (индикаторов), желаемой тенденцией развития которых является увеличение значений:</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гпф</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гпп</w:t>
      </w:r>
      <w:r>
        <w:rPr>
          <w:rFonts w:cs="Times New Roman" w:ascii="Times New Roman" w:hAnsi="Times New Roman"/>
          <w:sz w:val="28"/>
          <w:szCs w:val="28"/>
        </w:rPr>
        <w:t>,</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для показателей (индикаторов), желаемой тенденцией развития которых является снижение значений:</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гпп</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гпф</w:t>
      </w:r>
      <w:r>
        <w:rPr>
          <w:rFonts w:cs="Times New Roman" w:ascii="Times New Roman" w:hAnsi="Times New Roman"/>
          <w:sz w:val="28"/>
          <w:szCs w:val="28"/>
        </w:rPr>
        <w:t>,</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 степень достижения планового значения показателя (индикатора), характеризующего цели и задачи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ЗП</w:t>
      </w:r>
      <w:r>
        <w:rPr>
          <w:rFonts w:cs="Times New Roman" w:ascii="Times New Roman" w:hAnsi="Times New Roman"/>
          <w:sz w:val="28"/>
          <w:szCs w:val="28"/>
          <w:vertAlign w:val="subscript"/>
        </w:rPr>
        <w:t>гпф</w:t>
      </w:r>
      <w:r>
        <w:rPr>
          <w:rFonts w:cs="Times New Roman" w:ascii="Times New Roman" w:hAnsi="Times New Roman"/>
          <w:sz w:val="28"/>
          <w:szCs w:val="28"/>
        </w:rPr>
        <w:t xml:space="preserve"> - значение показателя (индикатора), характеризующего цели и задачи муниципальной программы, фактически достигнутое на конец отчетного периода;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ЗП</w:t>
      </w:r>
      <w:r>
        <w:rPr>
          <w:rFonts w:cs="Times New Roman" w:ascii="Times New Roman" w:hAnsi="Times New Roman"/>
          <w:sz w:val="28"/>
          <w:szCs w:val="28"/>
          <w:vertAlign w:val="subscript"/>
        </w:rPr>
        <w:t>гпп</w:t>
      </w:r>
      <w:r>
        <w:rPr>
          <w:rFonts w:cs="Times New Roman" w:ascii="Times New Roman" w:hAnsi="Times New Roman"/>
          <w:sz w:val="28"/>
          <w:szCs w:val="28"/>
        </w:rPr>
        <w:t xml:space="preserve"> - плановое значение показателя (индикатора), характеризующего цели и задачи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18. Степень реализации муниципальной программы рассчитывается по формуле: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drawing>
          <wp:inline distT="0" distB="0" distL="0" distR="0">
            <wp:extent cx="1924685" cy="553085"/>
            <wp:effectExtent l="0" t="0" r="0" b="0"/>
            <wp:docPr id="4" name="Рисунок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1" descr=""/>
                    <pic:cNvPicPr>
                      <a:picLocks noChangeAspect="1" noChangeArrowheads="1"/>
                    </pic:cNvPicPr>
                  </pic:nvPicPr>
                  <pic:blipFill>
                    <a:blip r:embed="rId12"/>
                    <a:stretch>
                      <a:fillRect/>
                    </a:stretch>
                  </pic:blipFill>
                  <pic:spPr bwMode="auto">
                    <a:xfrm>
                      <a:off x="0" y="0"/>
                      <a:ext cx="1924685" cy="553085"/>
                    </a:xfrm>
                    <a:prstGeom prst="rect">
                      <a:avLst/>
                    </a:prstGeom>
                  </pic:spPr>
                </pic:pic>
              </a:graphicData>
            </a:graphic>
          </wp:inline>
        </w:drawing>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 степень реализации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 степень достижения планового значения показателя (индикатора), характеризующего цели и задачи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М - число показателей (индикаторов), характеризующих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При использовании данной формулы, в случае если 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больше 1, значение 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принимается равным 1.</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При оценке степени реализации муниципальной программы ответственным исполнителем могут определяться коэффициенты значимости отдельных показателей (индикаторов) целей и задач. При использовании коэффициентов значимости приведенная выше формула преобразуется в следующую:</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drawing>
          <wp:inline distT="0" distB="0" distL="0" distR="0">
            <wp:extent cx="1924685" cy="553085"/>
            <wp:effectExtent l="0" t="0" r="0" b="0"/>
            <wp:docPr id="5" name="Рисунок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10" descr=""/>
                    <pic:cNvPicPr>
                      <a:picLocks noChangeAspect="1" noChangeArrowheads="1"/>
                    </pic:cNvPicPr>
                  </pic:nvPicPr>
                  <pic:blipFill>
                    <a:blip r:embed="rId13"/>
                    <a:stretch>
                      <a:fillRect/>
                    </a:stretch>
                  </pic:blipFill>
                  <pic:spPr bwMode="auto">
                    <a:xfrm>
                      <a:off x="0" y="0"/>
                      <a:ext cx="1924685" cy="553085"/>
                    </a:xfrm>
                    <a:prstGeom prst="rect">
                      <a:avLst/>
                    </a:prstGeom>
                  </pic:spPr>
                </pic:pic>
              </a:graphicData>
            </a:graphic>
          </wp:inline>
        </w:drawing>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 k</w:t>
      </w:r>
      <w:r>
        <w:rPr>
          <w:rFonts w:cs="Times New Roman" w:ascii="Times New Roman" w:hAnsi="Times New Roman"/>
          <w:sz w:val="28"/>
          <w:szCs w:val="28"/>
          <w:vertAlign w:val="subscript"/>
        </w:rPr>
        <w:t>i</w:t>
      </w:r>
      <w:r>
        <w:rPr>
          <w:rFonts w:cs="Times New Roman" w:ascii="Times New Roman" w:hAnsi="Times New Roman"/>
          <w:sz w:val="28"/>
          <w:szCs w:val="28"/>
        </w:rPr>
        <w:t xml:space="preserve"> - удельный вес, отражающий значимость показателя (индикатора), </w:t>
      </w:r>
      <w:r>
        <w:rPr/>
        <w:drawing>
          <wp:inline distT="0" distB="0" distL="0" distR="0">
            <wp:extent cx="800735" cy="334010"/>
            <wp:effectExtent l="0" t="0" r="0" b="0"/>
            <wp:docPr id="6" name="Рисунок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9" descr=""/>
                    <pic:cNvPicPr>
                      <a:picLocks noChangeAspect="1" noChangeArrowheads="1"/>
                    </pic:cNvPicPr>
                  </pic:nvPicPr>
                  <pic:blipFill>
                    <a:blip r:embed="rId11"/>
                    <a:stretch>
                      <a:fillRect/>
                    </a:stretch>
                  </pic:blipFill>
                  <pic:spPr bwMode="auto">
                    <a:xfrm>
                      <a:off x="0" y="0"/>
                      <a:ext cx="800735" cy="334010"/>
                    </a:xfrm>
                    <a:prstGeom prst="rect">
                      <a:avLst/>
                    </a:prstGeom>
                  </pic:spPr>
                </pic:pic>
              </a:graphicData>
            </a:graphic>
          </wp:inline>
        </w:drawing>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19.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по следующей формуле: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drawing>
          <wp:inline distT="0" distB="0" distL="0" distR="0">
            <wp:extent cx="3515360" cy="553085"/>
            <wp:effectExtent l="0" t="0" r="0" b="0"/>
            <wp:docPr id="7" name="Рисунок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8" descr=""/>
                    <pic:cNvPicPr>
                      <a:picLocks noChangeAspect="1" noChangeArrowheads="1"/>
                    </pic:cNvPicPr>
                  </pic:nvPicPr>
                  <pic:blipFill>
                    <a:blip r:embed="rId14"/>
                    <a:stretch>
                      <a:fillRect/>
                    </a:stretch>
                  </pic:blipFill>
                  <pic:spPr bwMode="auto">
                    <a:xfrm>
                      <a:off x="0" y="0"/>
                      <a:ext cx="3515360" cy="553085"/>
                    </a:xfrm>
                    <a:prstGeom prst="rect">
                      <a:avLst/>
                    </a:prstGeom>
                  </pic:spPr>
                </pic:pic>
              </a:graphicData>
            </a:graphic>
          </wp:inline>
        </w:drawing>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 эффективность реализации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 степень реализации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 эффективность реализации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k</w:t>
      </w:r>
      <w:r>
        <w:rPr>
          <w:rFonts w:cs="Times New Roman" w:ascii="Times New Roman" w:hAnsi="Times New Roman"/>
          <w:sz w:val="28"/>
          <w:szCs w:val="28"/>
          <w:vertAlign w:val="subscript"/>
        </w:rPr>
        <w:t>j</w:t>
      </w:r>
      <w:r>
        <w:rPr>
          <w:rFonts w:cs="Times New Roman" w:ascii="Times New Roman" w:hAnsi="Times New Roman"/>
          <w:sz w:val="28"/>
          <w:szCs w:val="28"/>
        </w:rPr>
        <w:t xml:space="preserve"> - коэффициент значимости подпрограммы для достижения целей муниципальной программы, определяемый в методике оценки эффективности муниципальной программы ответственным исполнителем. По умолчанию k</w:t>
      </w:r>
      <w:r>
        <w:rPr>
          <w:rFonts w:cs="Times New Roman" w:ascii="Times New Roman" w:hAnsi="Times New Roman"/>
          <w:sz w:val="28"/>
          <w:szCs w:val="28"/>
          <w:vertAlign w:val="subscript"/>
        </w:rPr>
        <w:t>j</w:t>
      </w:r>
      <w:r>
        <w:rPr>
          <w:rFonts w:cs="Times New Roman" w:ascii="Times New Roman" w:hAnsi="Times New Roman"/>
          <w:sz w:val="28"/>
          <w:szCs w:val="28"/>
        </w:rPr>
        <w:t xml:space="preserve"> определяется по формуле: k</w:t>
      </w:r>
      <w:r>
        <w:rPr>
          <w:rFonts w:cs="Times New Roman" w:ascii="Times New Roman" w:hAnsi="Times New Roman"/>
          <w:sz w:val="28"/>
          <w:szCs w:val="28"/>
          <w:vertAlign w:val="subscript"/>
        </w:rPr>
        <w:t>j</w:t>
      </w:r>
      <w:r>
        <w:rPr>
          <w:rFonts w:cs="Times New Roman" w:ascii="Times New Roman" w:hAnsi="Times New Roman"/>
          <w:sz w:val="28"/>
          <w:szCs w:val="28"/>
        </w:rPr>
        <w:t xml:space="preserve"> = Ф</w:t>
      </w:r>
      <w:r>
        <w:rPr>
          <w:rFonts w:cs="Times New Roman" w:ascii="Times New Roman" w:hAnsi="Times New Roman"/>
          <w:sz w:val="28"/>
          <w:szCs w:val="28"/>
          <w:vertAlign w:val="subscript"/>
        </w:rPr>
        <w:t>j</w:t>
      </w:r>
      <w:r>
        <w:rPr>
          <w:rFonts w:cs="Times New Roman" w:ascii="Times New Roman" w:hAnsi="Times New Roman"/>
          <w:sz w:val="28"/>
          <w:szCs w:val="28"/>
        </w:rPr>
        <w:t xml:space="preserve"> / Ф, где: Ф</w:t>
      </w:r>
      <w:r>
        <w:rPr>
          <w:rFonts w:cs="Times New Roman" w:ascii="Times New Roman" w:hAnsi="Times New Roman"/>
          <w:sz w:val="28"/>
          <w:szCs w:val="28"/>
          <w:vertAlign w:val="subscript"/>
        </w:rPr>
        <w:t>j</w:t>
      </w:r>
      <w:r>
        <w:rPr>
          <w:rFonts w:cs="Times New Roman" w:ascii="Times New Roman" w:hAnsi="Times New Roman"/>
          <w:sz w:val="28"/>
          <w:szCs w:val="28"/>
        </w:rPr>
        <w:t xml:space="preserve"> - объем фактических расходов из бюджета (кассового исполнения) на реализацию j-й подпрограммы в отчетном году, Ф - объем фактических расходов из бюджета (кассового исполнения) на реализацию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20. Эффективность реализации муниципальной программы признается высокой, в случае если значение ЭР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составляет не менее 0,90.</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Эффективность реализации муниципальной программы признается средней, в случае если значение ЭР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составляет не менее 0,80.</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Эффективность реализации муниципальной программы признается удовлетворительной, в случае если значение ЭР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составляет не менее 0,70.</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остальных случаях эффективность реализации муниципальной программы признается неудовлетворительной.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XI</w:t>
      </w:r>
      <w:r>
        <w:rPr>
          <w:rFonts w:cs="Times New Roman" w:ascii="Times New Roman" w:hAnsi="Times New Roman"/>
          <w:b/>
          <w:bCs/>
          <w:sz w:val="28"/>
          <w:szCs w:val="28"/>
          <w:lang w:val="en-US"/>
        </w:rPr>
        <w:t>I</w:t>
      </w:r>
      <w:r>
        <w:rPr>
          <w:rFonts w:cs="Times New Roman" w:ascii="Times New Roman" w:hAnsi="Times New Roman"/>
          <w:b/>
          <w:bCs/>
          <w:sz w:val="28"/>
          <w:szCs w:val="28"/>
        </w:rPr>
        <w:t>. Подпрограммы муниципальной программы</w:t>
      </w:r>
    </w:p>
    <w:p>
      <w:pPr>
        <w:pStyle w:val="Normal"/>
        <w:spacing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0"/>
        <w:rPr>
          <w:rFonts w:ascii="Times New Roman" w:hAnsi="Times New Roman" w:cs="Times New Roman"/>
          <w:b/>
          <w:b/>
          <w:bCs/>
          <w:sz w:val="28"/>
          <w:szCs w:val="28"/>
        </w:rPr>
      </w:pPr>
      <w:r>
        <w:rPr>
          <w:rFonts w:cs="Times New Roman" w:ascii="Times New Roman" w:hAnsi="Times New Roman"/>
          <w:b/>
          <w:bCs/>
          <w:sz w:val="28"/>
          <w:szCs w:val="28"/>
        </w:rPr>
        <w:t>ПОДПРОГРАММА 1</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«СОЗДАНИЕ И  РАЗВИТИЕ ИНФРАСТРУКТУРЫ НА СЕЛЬСКИХ ТЕРРИТОРИЯХ»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ПАСПОРТ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b/>
          <w:bCs/>
          <w:sz w:val="28"/>
          <w:szCs w:val="28"/>
        </w:rPr>
        <w:t>подпрограммы 1 «Создание и развитие инфраструктуры на сельских территориях»</w:t>
      </w:r>
    </w:p>
    <w:tbl>
      <w:tblPr>
        <w:tblW w:w="9035" w:type="dxa"/>
        <w:jc w:val="left"/>
        <w:tblInd w:w="-60" w:type="dxa"/>
        <w:tblLayout w:type="fixed"/>
        <w:tblCellMar>
          <w:top w:w="102" w:type="dxa"/>
          <w:left w:w="62" w:type="dxa"/>
          <w:bottom w:w="102" w:type="dxa"/>
          <w:right w:w="62" w:type="dxa"/>
        </w:tblCellMar>
        <w:tblLook w:val="0000"/>
      </w:tblPr>
      <w:tblGrid>
        <w:gridCol w:w="3286"/>
        <w:gridCol w:w="356"/>
        <w:gridCol w:w="5393"/>
      </w:tblGrid>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Ответственный исполнитель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ConsPlusNormal"/>
              <w:widowControl w:val="false"/>
              <w:spacing w:lineRule="auto" w:line="240" w:before="0" w:after="0"/>
              <w:ind w:left="0" w:right="0" w:hanging="0"/>
              <w:contextualSpacing/>
              <w:jc w:val="both"/>
              <w:rPr>
                <w:rFonts w:ascii="Times New Roman" w:hAnsi="Times New Roman" w:cs="Times New Roman"/>
                <w:sz w:val="28"/>
                <w:szCs w:val="28"/>
              </w:rPr>
            </w:pPr>
            <w:r>
              <w:rPr>
                <w:rFonts w:cs="Times New Roman" w:ascii="Times New Roman" w:hAnsi="Times New Roman"/>
                <w:sz w:val="28"/>
                <w:szCs w:val="28"/>
              </w:rPr>
              <w:t>Главный специалист-эксперт по вопросам строительства и архитектуры Администрации Тимского района Курской области</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Участники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ConsPlusNormal"/>
              <w:widowControl w:val="false"/>
              <w:spacing w:lineRule="auto" w:line="240" w:before="0" w:after="0"/>
              <w:ind w:left="0" w:right="0" w:hanging="0"/>
              <w:contextualSpacing/>
              <w:jc w:val="both"/>
              <w:rPr>
                <w:rFonts w:ascii="Times New Roman" w:hAnsi="Times New Roman" w:cs="Times New Roman"/>
                <w:sz w:val="28"/>
                <w:szCs w:val="28"/>
              </w:rPr>
            </w:pPr>
            <w:r>
              <w:rPr>
                <w:rFonts w:cs="Times New Roman" w:ascii="Times New Roman" w:hAnsi="Times New Roman"/>
                <w:sz w:val="28"/>
                <w:szCs w:val="28"/>
              </w:rPr>
              <w:t>МКУ «Центр бюджетного учета Тимского района Курской области</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Программно-целевые инструменты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Отсутствуют</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Цели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создание комфортных условий жизнедеятельности в сельской местности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Задачи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 Обеспечение  автомобильными дорогами общего пользования с твердым покрытием, ведущими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 Повышение уровня комплексного обустройства сельских поселений объектами инженерной инфраструктуры</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Целевые индикаторы и показатели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1. Количество реализованных проектов комплексного развития сельских территорий (сельских агломераций);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 Ввод в эксплуатацию автомобильных дорог;</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3. Ввод в действие распределительных газовых сетей в сельской местности;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4. Ввод в действие локальных водопроводов в сельской местности.</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Этапы и сроки реализации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Один этап, 2020-2026 годы</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Объем бюджетных ассигнований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Финансирование мероприятий подпрограммы 1 составляет  25038,27839 тыс. рублей, в том числе по годам:</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2020 год – 17153,69039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2021 год – 217,000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2022 год – 2945,244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2023 год — 2945,244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2024 год — 1777,100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2025 год - 0,000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2026 год - 0,000 тыс. рублей.</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Ожидаемые результаты реализации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реализовать проектов комплексного развития сельских территорий (сельских агломераций) – 3 ед.;</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ввести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 – 1,5 км.;</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ввести в действие объекты инженерного обустройства:</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распределительных газовых сетей – 2,097 км.;</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локальных водопроводов – 7,108 км.</w:t>
            </w:r>
          </w:p>
        </w:tc>
      </w:tr>
    </w:tbl>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I. Характеристика сферы реализации подпрограммы 1, описание</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основных проблем в указанной сфере и прогноз ее развития</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ходе экономических преобразований в аграрной сфере Тимского района Курской области сформирован и планово наращивается производственный потенциал, дальнейшее эффективное развитие которого во многом зависит от стабильности комплексного развития сельских территорий Тимского района Курской области. Наращивание социально-экономического потенциала сельских территорий Тимского района Курской области, придание этому процессу устойчивости и необратимости является стратегической задачей аграрной политики района.</w:t>
      </w:r>
    </w:p>
    <w:p>
      <w:pPr>
        <w:pStyle w:val="Normal"/>
        <w:spacing w:lineRule="auto" w:line="240" w:before="0" w:after="0"/>
        <w:ind w:firstLine="540"/>
        <w:jc w:val="both"/>
        <w:rPr/>
      </w:pPr>
      <w:r>
        <w:rPr>
          <w:rFonts w:cs="Times New Roman" w:ascii="Times New Roman" w:hAnsi="Times New Roman"/>
          <w:sz w:val="28"/>
          <w:szCs w:val="28"/>
          <w:lang w:eastAsia="ru-RU"/>
        </w:rPr>
        <w:t>Подпрограмма 1 «</w:t>
      </w:r>
      <w:r>
        <w:rPr>
          <w:rFonts w:cs="Times New Roman" w:ascii="Times New Roman" w:hAnsi="Times New Roman"/>
          <w:sz w:val="28"/>
          <w:szCs w:val="28"/>
        </w:rPr>
        <w:t>Создание и развитие инфраструктуры на сельских территориях</w:t>
      </w:r>
      <w:r>
        <w:rPr>
          <w:rFonts w:cs="Times New Roman" w:ascii="Times New Roman" w:hAnsi="Times New Roman"/>
          <w:sz w:val="28"/>
          <w:szCs w:val="28"/>
          <w:lang w:eastAsia="ru-RU"/>
        </w:rPr>
        <w:t xml:space="preserve">» разработана в соответствии с </w:t>
      </w:r>
      <w:hyperlink r:id="rId15">
        <w:r>
          <w:rPr>
            <w:rFonts w:cs="Times New Roman" w:ascii="Times New Roman" w:hAnsi="Times New Roman"/>
            <w:sz w:val="28"/>
            <w:szCs w:val="28"/>
          </w:rPr>
          <w:t>Постановлением</w:t>
        </w:r>
      </w:hyperlink>
      <w:r>
        <w:rPr>
          <w:rFonts w:cs="Times New Roman" w:ascii="Times New Roman" w:hAnsi="Times New Roman"/>
          <w:sz w:val="28"/>
          <w:szCs w:val="28"/>
        </w:rPr>
        <w:t xml:space="preserve"> Правительства Российской Федерации от 31 мая 2019 №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Одним из важных факторов качества жизни, которые формируют предпочтения для проживания в той или иной местности, является обеспеченность и благоустройство жилищного фонда, наличие инженерных коммуникаций, транспортная доступность, а также развитие объектов социальной сферы и результативность их деятельности.</w:t>
      </w:r>
    </w:p>
    <w:p>
      <w:pPr>
        <w:pStyle w:val="Normal"/>
        <w:spacing w:lineRule="auto" w:line="240" w:before="0" w:after="0"/>
        <w:ind w:firstLine="540"/>
        <w:jc w:val="both"/>
        <w:rPr/>
      </w:pPr>
      <w:r>
        <w:rPr>
          <w:rFonts w:cs="Times New Roman" w:ascii="Times New Roman" w:hAnsi="Times New Roman"/>
          <w:sz w:val="28"/>
          <w:szCs w:val="28"/>
        </w:rPr>
        <w:t xml:space="preserve">Показателем результативности использования программно-целевого подхода являются позитивные изменения в комплексном развитии сельских территорий в ходе реализации федеральной Государственной </w:t>
      </w:r>
      <w:hyperlink r:id="rId16">
        <w:r>
          <w:rPr>
            <w:rFonts w:cs="Times New Roman"/>
            <w:szCs w:val="28"/>
          </w:rPr>
          <w:t>программы</w:t>
        </w:r>
      </w:hyperlink>
      <w:r>
        <w:rPr>
          <w:rFonts w:cs="Times New Roman" w:ascii="Times New Roman" w:hAnsi="Times New Roman"/>
          <w:sz w:val="28"/>
          <w:szCs w:val="28"/>
        </w:rPr>
        <w:t xml:space="preserve">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14.07.2012 № 717, Подпрограммы «Устойчивое развитие сельских территорий Курской области на 2014 - 2017 годы и на период до 2021 года» областной государственной </w:t>
      </w:r>
      <w:hyperlink r:id="rId17">
        <w:r>
          <w:rPr>
            <w:rFonts w:cs="Times New Roman" w:ascii="Times New Roman" w:hAnsi="Times New Roman"/>
            <w:sz w:val="28"/>
            <w:szCs w:val="28"/>
          </w:rPr>
          <w:t>программы</w:t>
        </w:r>
      </w:hyperlink>
      <w:r>
        <w:rPr>
          <w:rFonts w:cs="Times New Roman" w:ascii="Times New Roman" w:hAnsi="Times New Roman"/>
          <w:sz w:val="28"/>
          <w:szCs w:val="28"/>
        </w:rPr>
        <w:t xml:space="preserve"> развития сельского хозяйства и регулирование рынков сельскохозяйственной продукции, сырья и продовольствия в Курской области, утвержденной постановлением Администрации Курской области от 18.10.2013 № 744-па, которые создали определенные предпосылки для укрепления производственного и инфраструктурного потенциала сельских территорий.</w:t>
      </w:r>
    </w:p>
    <w:p>
      <w:pPr>
        <w:pStyle w:val="Normal"/>
        <w:spacing w:lineRule="auto" w:line="240" w:before="0" w:after="0"/>
        <w:ind w:firstLine="540"/>
        <w:jc w:val="both"/>
        <w:rPr/>
      </w:pPr>
      <w:r>
        <w:rPr>
          <w:rFonts w:cs="Times New Roman" w:ascii="Times New Roman" w:hAnsi="Times New Roman"/>
          <w:sz w:val="28"/>
          <w:szCs w:val="28"/>
        </w:rPr>
        <w:t>Вместе с тем, несмотря на положительный эффект от реализации мероприятий под</w:t>
      </w:r>
      <w:hyperlink r:id="rId18">
        <w:r>
          <w:rPr>
            <w:rFonts w:cs="Times New Roman" w:ascii="Times New Roman" w:hAnsi="Times New Roman"/>
            <w:sz w:val="28"/>
            <w:szCs w:val="28"/>
          </w:rPr>
          <w:t>программы</w:t>
        </w:r>
      </w:hyperlink>
      <w:r>
        <w:rPr>
          <w:rFonts w:cs="Times New Roman" w:ascii="Times New Roman" w:hAnsi="Times New Roman"/>
          <w:sz w:val="28"/>
          <w:szCs w:val="28"/>
        </w:rPr>
        <w:t xml:space="preserve"> «Устойчивое развитие сельских территорий Курской области на 2014 - 2017 годы и на период до 2021 года», реализация программных мероприятий оказалась недостаточной для полного и эффективного использования в общенациональных интересах экономического потенциала сельских территорий и повышения качества жизни сельского населения.</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Набор мероприятий в рамках Подпрограммы 1 «</w:t>
      </w:r>
      <w:r>
        <w:rPr>
          <w:rFonts w:cs="Times New Roman" w:ascii="Times New Roman" w:hAnsi="Times New Roman"/>
          <w:sz w:val="28"/>
          <w:szCs w:val="28"/>
        </w:rPr>
        <w:t>Создание и развитие инфраструктуры на сельских территориях</w:t>
      </w:r>
      <w:r>
        <w:rPr>
          <w:rFonts w:cs="Times New Roman" w:ascii="Times New Roman" w:hAnsi="Times New Roman"/>
          <w:sz w:val="28"/>
          <w:szCs w:val="28"/>
          <w:lang w:eastAsia="ru-RU"/>
        </w:rPr>
        <w:t>» должен обеспечивать возможность получения доступа к создаваемым объектам инфраструктуры.</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В части обеспечения доступности объектов социальной инфраструктуры (объекты образования, культуры, спорта) предусматривается проведение мероприятий по строительству, реконструкции, капитальному ремонту, а также созданию и обновлению материально-технической базы соответствующих объектов. С учетом особенностей сельских территорий, а также в целях обеспечения эффективного расходования бюджетных средств целесообразно реализовывать социокультурные комплексы, интегрирующие на своей платформе учреждения различной направленности. </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В целях обеспечения доступности объектов образования для сельского населения, расположенного на отдаленных территориях, предусматривается реализация мероприятий по приобретению специализированного транспорта, в том числе автобусов.</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В рамках проектов по развитию водоснабжения предусматривается включение в проект мероприятий по строительству, реконструкции систем водоотведения и канализации, очистных сооружений, установке станций обезжелезивания воды, строительству и реконструкции локальных водопроводов, строительству водозаборных сооружений и др.</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В целях развития энергообеспечения предусматривается в том числе строительство, приобретение и монтаж газо-поршневых установок, газгольдеров, локальных газопроводов,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использовании энергосберегающих технологий), строительство и оборудование автономных и возобновляемых источников энергии с применением технологий энергосбережения там, где отсутствует возможность подключения к магистральным линиям. </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В целях расширения доступа к сети «Интернет» предусматривается возможность приобретения и монтажа оборудования, строительство линий передачи данных, обеспечивающих возможность подключения к сети «Интернет» сельского населения. </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Проекты развития сельских территорий должны обеспечивать достижение целевых показателей, установленных муниципальной программой, ориентироваться на документы стратегического планирования Российской Федерации, прежде всего, на Стратегию пространственного развития, а также предусматривать возможность применения инновационных и технологичных решений имеющихся задач. Для этого, в свою очередь, учитывая необходимость привлечения широкого круга участников из различных отраслей экономики, целесообразно на региональном уровне формирование центров инноваций сельских территорий, обеспечивающих распространение практик реализации инициативных проектов среди населения, выработку эффективных инструментов финансирования проектов, обучение граждан проектному подходу, а также привлечение высокотехнологичных организаций к выработке эффективных механизмов реализации программ развития сельских территорий.</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II. Приоритеты государственной политики в сфере реализации</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подпрограммы, цели, задачи и показатели (индикаторы)</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достижения целей и решения задач, описание основных</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ожидаемых конечных результатов Подпрограммы 1, сроков</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и контрольных этапов реализации Подпрограммы 1</w:t>
      </w:r>
    </w:p>
    <w:p>
      <w:pPr>
        <w:pStyle w:val="Normal"/>
        <w:spacing w:before="0" w:after="0"/>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Формирование единой государственной политики в отношении сельских территорий на долгосрочный период было определено в Стратегии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2 февраля 2015 г. № 151-р (далее – Стратегия). </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Стратегия направлена на создание условий для обеспечения стабильного повышения качества и уровня жизни сельского населения, в том числе на развитие социальной инфраструктуры, включая разработку специальных программ по сохранению доступа населения к учреждениям образования, улучшению транспортной доступности, развитию инженерно-бытовой инфраструктуры (доступ к сетевому газу, водопроводу и канализации). Улучшение доступа сельского населения к объектам социальной инфраструктуры нацелено на улучшение среды обитания людей, проживающих в сельской местности. </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Для достижения целей государственной политики в области комплексного развития сельских территорий в рамках реализации Подпрограммы 1 предусматривается решение задач, которые определены паспортом Подпрограммы 1.</w:t>
      </w:r>
    </w:p>
    <w:p>
      <w:pPr>
        <w:pStyle w:val="Normal"/>
        <w:spacing w:lineRule="auto" w:line="240" w:before="0" w:after="0"/>
        <w:ind w:firstLine="540"/>
        <w:jc w:val="both"/>
        <w:rPr/>
      </w:pPr>
      <w:r>
        <w:rPr>
          <w:rFonts w:cs="Times New Roman" w:ascii="Times New Roman" w:hAnsi="Times New Roman"/>
          <w:sz w:val="28"/>
          <w:szCs w:val="28"/>
        </w:rPr>
        <w:t xml:space="preserve">Оценка достижения целей Подпрограммы1 осуществляется посредством определения степени и полноты достижения поставленных задач, а также использования целевых индикаторов и показателей, которые приведены в </w:t>
      </w:r>
      <w:hyperlink r:id="rId19">
        <w:r>
          <w:rPr>
            <w:rFonts w:cs="Times New Roman" w:ascii="Times New Roman" w:hAnsi="Times New Roman"/>
            <w:sz w:val="28"/>
            <w:szCs w:val="28"/>
          </w:rPr>
          <w:t>приложении № 1</w:t>
        </w:r>
      </w:hyperlink>
      <w:r>
        <w:rPr>
          <w:rFonts w:cs="Times New Roman" w:ascii="Times New Roman" w:hAnsi="Times New Roman"/>
          <w:sz w:val="28"/>
          <w:szCs w:val="28"/>
        </w:rPr>
        <w:t xml:space="preserve"> к муниципальной программе.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Реализация Подпрограммы 1 будет осуществляться в один этап.</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III. Характеристика ведомственных целевых программ</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и основных мероприятий Подпрограммы 1</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39"/>
        <w:jc w:val="both"/>
        <w:rPr>
          <w:rFonts w:ascii="Times New Roman" w:hAnsi="Times New Roman" w:cs="Times New Roman"/>
          <w:sz w:val="28"/>
          <w:szCs w:val="28"/>
        </w:rPr>
      </w:pPr>
      <w:r>
        <w:rPr>
          <w:rFonts w:cs="Times New Roman" w:ascii="Times New Roman" w:hAnsi="Times New Roman"/>
          <w:sz w:val="28"/>
          <w:szCs w:val="28"/>
        </w:rPr>
        <w:t>Основные мероприятия Подпрограммы 1 направлены на достижение цели Подпрограммы 1, а также на решение наиболее важных текущих и перспективных задач, обеспечивающих устойчивое развитие сельских территорий и позитивное влияние на экономические показатели развития района.</w:t>
      </w:r>
    </w:p>
    <w:p>
      <w:pPr>
        <w:pStyle w:val="Normal"/>
        <w:spacing w:lineRule="auto" w:line="240" w:before="0" w:after="0"/>
        <w:ind w:firstLine="539"/>
        <w:jc w:val="both"/>
        <w:rPr>
          <w:rFonts w:ascii="Times New Roman" w:hAnsi="Times New Roman" w:cs="Times New Roman"/>
          <w:sz w:val="28"/>
          <w:szCs w:val="28"/>
        </w:rPr>
      </w:pPr>
      <w:r>
        <w:rPr>
          <w:rFonts w:cs="Times New Roman" w:ascii="Times New Roman" w:hAnsi="Times New Roman"/>
          <w:sz w:val="28"/>
          <w:szCs w:val="28"/>
        </w:rPr>
        <w:t>Реализацию ведомственных целевых программ Подпрограмма 1 не предусматривает.</w:t>
      </w:r>
    </w:p>
    <w:p>
      <w:pPr>
        <w:pStyle w:val="Normal"/>
        <w:spacing w:lineRule="auto" w:line="240" w:before="0" w:after="0"/>
        <w:ind w:firstLine="539"/>
        <w:jc w:val="both"/>
        <w:rPr>
          <w:rFonts w:ascii="Times New Roman" w:hAnsi="Times New Roman" w:cs="Times New Roman"/>
          <w:sz w:val="28"/>
          <w:szCs w:val="28"/>
        </w:rPr>
      </w:pPr>
      <w:r>
        <w:rPr>
          <w:rFonts w:cs="Times New Roman" w:ascii="Times New Roman" w:hAnsi="Times New Roman"/>
          <w:sz w:val="28"/>
          <w:szCs w:val="28"/>
        </w:rPr>
        <w:t>Для достижения цели и решения задач Подпрограммы 1 необходимо реализовать следующие основные мероприятия.</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2"/>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2"/>
        <w:rPr>
          <w:rFonts w:ascii="Times New Roman" w:hAnsi="Times New Roman" w:cs="Times New Roman"/>
          <w:b/>
          <w:b/>
          <w:bCs/>
          <w:sz w:val="28"/>
          <w:szCs w:val="28"/>
        </w:rPr>
      </w:pPr>
      <w:r>
        <w:rPr>
          <w:rFonts w:cs="Times New Roman" w:ascii="Times New Roman" w:hAnsi="Times New Roman"/>
          <w:b/>
          <w:bCs/>
          <w:sz w:val="28"/>
          <w:szCs w:val="28"/>
        </w:rPr>
        <w:t>Основное мероприятие 1.1 «Современный облик сельских территорий»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Целями мероприятия по современному облику сельских территорий является количество реализованных проектов комплексного развития сельских территорий (сельских агломераций).</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В рамках данного мероприятия предусматривается софинансирование на строительство, реконструкцию, модернизацию и капитальный ремонт объектов социальной и культурной сферы (дошкольные образовательные и общеобразовательные организации, учреждения культурно-досугового типа, спортивные сооружения), строительство социокультурных и многофункциональных центров; </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на приобретение новой автомобильной техники и оборудования для обеспечения функционирования существующих объектов социальной и культурной сферы, в том числе автобусов, санитарного транспорта, оборудования для предоставления дистанционных услуг при условии, что на приобретаемую автомобильную технику и оборудование Министерством промышленности и торговли Российской Федерации выдано заключение о подтверждении производства промышленной продукции на территории Российской Федерации или заключение об отнесении продукции к промышленной продукции, не имеющей произведенных в Российской Федерации аналогов;</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на развитие водоснабжения (строительство и реконструкция систем водоотведения и канализации, очистных сооружений, станций обезжелезивания воды, локальных водопроводов, водозаборных сооружений) развитие жилищно-коммунальных объектов (строительство блочномодульных котельных и перевод многоквартирных жилых домой на индивидуальное отопление); </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на развитие энергообеспечения (строительство, приобретение и монтаж газо-поршневых установок, газгольдеров, распределительных газовых сетей,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использовании энергосберегающих технологий), строительство и оборудование автономных и возобновляемых источников энергии с применением технологий энергосбережения.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Исполнителем основного мероприятия является главный специалист-эксперт по вопросам строительства и архитектуры Администрации Тимского района Курской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Срок реализации основного мероприятия: 2020 - 2026 годы, этапы реализации не выделяются.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Реализация основного мероприятия обеспечивает достижение показателя 1, указанного в приложении № 1 к муниципальной программе.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Не реализация основного мероприятия повлечет:</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к ухудшению материально-технической базы физической культуры для населения Тимского района Курской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к снижению качества образования;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к снижению качества жизни сельского населения.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2"/>
        <w:rPr>
          <w:rFonts w:ascii="Times New Roman" w:hAnsi="Times New Roman" w:cs="Times New Roman"/>
          <w:b/>
          <w:b/>
          <w:bCs/>
          <w:sz w:val="28"/>
          <w:szCs w:val="28"/>
        </w:rPr>
      </w:pPr>
      <w:r>
        <w:rPr>
          <w:rFonts w:cs="Times New Roman" w:ascii="Times New Roman" w:hAnsi="Times New Roman"/>
          <w:b/>
          <w:bCs/>
          <w:sz w:val="28"/>
          <w:szCs w:val="28"/>
        </w:rPr>
        <w:t>Основное мероприятие 1.2 «Развитие транспортной инфраструктуры»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Мероприятие «Развитие транспортной инфраструктуры» предусматривает софинансирование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Исполнителем основного мероприятия является главный специалист-эксперт по вопросам строительства и архитектуры Администрации Тимского района Курской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Срок реализации основного мероприятия: 2020 - 2026 годы, этапы реализации не выделяются.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Реализация основного мероприятия обеспечивает достижение показателя 2, указанного в приложении № 1 к муниципальной программе.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Не реализация основного мероприятия приведет к значительным потерям сельского населения, что повлечет снижение темпов роста социально-экономического развития региона.</w:t>
      </w:r>
    </w:p>
    <w:p>
      <w:pPr>
        <w:pStyle w:val="Normal"/>
        <w:spacing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2"/>
        <w:rPr>
          <w:rFonts w:ascii="Times New Roman" w:hAnsi="Times New Roman" w:cs="Times New Roman"/>
          <w:b/>
          <w:b/>
          <w:bCs/>
          <w:sz w:val="28"/>
          <w:szCs w:val="28"/>
        </w:rPr>
      </w:pPr>
      <w:r>
        <w:rPr>
          <w:rFonts w:cs="Times New Roman" w:ascii="Times New Roman" w:hAnsi="Times New Roman"/>
          <w:b/>
          <w:bCs/>
          <w:sz w:val="28"/>
          <w:szCs w:val="28"/>
        </w:rPr>
        <w:t>Основное мероприятие 1.3 «</w:t>
      </w:r>
      <w:r>
        <w:rPr>
          <w:rStyle w:val="Style17"/>
          <w:rFonts w:ascii="Times New Roman" w:hAnsi="Times New Roman"/>
          <w:b/>
          <w:color w:val="000000"/>
          <w:sz w:val="28"/>
          <w:szCs w:val="28"/>
          <w:lang w:eastAsia="en-US"/>
        </w:rPr>
        <w:t>Газоснабжение сельских поселений Муниципального района</w:t>
      </w:r>
      <w:r>
        <w:rPr>
          <w:rFonts w:cs="Times New Roman" w:ascii="Times New Roman" w:hAnsi="Times New Roman"/>
          <w:b/>
          <w:bCs/>
          <w:sz w:val="28"/>
          <w:szCs w:val="28"/>
        </w:rPr>
        <w:t>»</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рамках мероприятия «</w:t>
      </w:r>
      <w:r>
        <w:rPr>
          <w:rStyle w:val="Style17"/>
          <w:rFonts w:ascii="Times New Roman" w:hAnsi="Times New Roman"/>
          <w:color w:val="000000"/>
          <w:sz w:val="28"/>
          <w:szCs w:val="28"/>
          <w:lang w:eastAsia="en-US"/>
        </w:rPr>
        <w:t>Газоснабжение сельских поселений Муниципального района</w:t>
      </w:r>
      <w:r>
        <w:rPr>
          <w:rFonts w:cs="Times New Roman" w:ascii="Times New Roman" w:hAnsi="Times New Roman"/>
          <w:sz w:val="28"/>
          <w:szCs w:val="28"/>
        </w:rPr>
        <w:t>» предусматривается завершение в 2021 году мероприятий по развитию газификации в сельской местности, реализация которых была начата в рамках подпрограммы «Устойчивое развитие сельских территорий Курской области на 2014 - 2017 года и на период до 2021 года» Государственной программы развития сельского хозяйства и регулирование рынков сельскохозяйственной продукции, сырья и продовольствия в Курской области, утвержденной постановлением Администрации Курской области от  18.10.2013 № 744-па.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Основное мероприятие «</w:t>
      </w:r>
      <w:r>
        <w:rPr>
          <w:rStyle w:val="Style17"/>
          <w:rFonts w:ascii="Times New Roman" w:hAnsi="Times New Roman"/>
          <w:color w:val="000000"/>
          <w:sz w:val="28"/>
          <w:szCs w:val="28"/>
          <w:lang w:eastAsia="en-US"/>
        </w:rPr>
        <w:t>Газоснабжение сельских поселений Муниципального района</w:t>
      </w:r>
      <w:r>
        <w:rPr>
          <w:rFonts w:cs="Times New Roman" w:ascii="Times New Roman" w:hAnsi="Times New Roman"/>
          <w:sz w:val="28"/>
          <w:szCs w:val="28"/>
        </w:rPr>
        <w:t>» предусматривает софинансирование развития газификации (распределительные газовые сети) на сельских территориях;</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Исполнителем основного мероприятия является главный специалист-эксперт по вопросам строительства и архитектуры Администрации Тимского района Курской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Срок реализации основного мероприятия: 2020 - 2026 годы, этапы реализации не выделяются.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Реализация основного мероприятия обеспечивает достижение показателей 3, указанных в приложении № 1 к муниципальной программе.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Не реализация основного мероприятия повлечет снижение качества жизни сельского населения.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2"/>
        <w:rPr>
          <w:rFonts w:ascii="Times New Roman" w:hAnsi="Times New Roman" w:cs="Times New Roman"/>
          <w:b/>
          <w:b/>
          <w:bCs/>
          <w:sz w:val="28"/>
          <w:szCs w:val="28"/>
        </w:rPr>
      </w:pPr>
      <w:r>
        <w:rPr>
          <w:rFonts w:cs="Times New Roman" w:ascii="Times New Roman" w:hAnsi="Times New Roman"/>
          <w:b/>
          <w:bCs/>
          <w:sz w:val="28"/>
          <w:szCs w:val="28"/>
        </w:rPr>
        <w:t>Основное мероприятие 1.4 «</w:t>
      </w:r>
      <w:r>
        <w:rPr>
          <w:rStyle w:val="Style17"/>
          <w:rFonts w:ascii="Times New Roman" w:hAnsi="Times New Roman"/>
          <w:b/>
          <w:color w:val="000000"/>
          <w:sz w:val="28"/>
          <w:szCs w:val="28"/>
          <w:lang w:eastAsia="en-US"/>
        </w:rPr>
        <w:t>Водоснабжение сельских поселений Муниципального района</w:t>
      </w:r>
      <w:r>
        <w:rPr>
          <w:rFonts w:cs="Times New Roman" w:ascii="Times New Roman" w:hAnsi="Times New Roman"/>
          <w:b/>
          <w:bCs/>
          <w:sz w:val="28"/>
          <w:szCs w:val="28"/>
        </w:rPr>
        <w:t>»</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рамках мероприятия «</w:t>
      </w:r>
      <w:r>
        <w:rPr>
          <w:rStyle w:val="Style17"/>
          <w:rFonts w:ascii="Times New Roman" w:hAnsi="Times New Roman"/>
          <w:color w:val="000000"/>
          <w:sz w:val="28"/>
          <w:szCs w:val="28"/>
          <w:lang w:eastAsia="en-US"/>
        </w:rPr>
        <w:t>Водоснабжение сельских поселений Муниципального района</w:t>
      </w:r>
      <w:r>
        <w:rPr>
          <w:rFonts w:cs="Times New Roman" w:ascii="Times New Roman" w:hAnsi="Times New Roman"/>
          <w:sz w:val="28"/>
          <w:szCs w:val="28"/>
        </w:rPr>
        <w:t>» предусматривается завершение в 2021 году мероприятий по развитию водоснабжения в сельской местности, реализация которых была начата в рамках подпрограммы «Устойчивое развитие сельских территорий Курской области на 2014 - 2017 года и на период до 2021 года» Государственной программы развития сельского хозяйства и регулирование рынков сельскохозяйственной продукции, сырья и продовольствия в Курской области, утвержденной постановлением Администрации Курской области от  18.10.2013 № 744-па.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Основное мероприятие «</w:t>
      </w:r>
      <w:r>
        <w:rPr>
          <w:rStyle w:val="Style17"/>
          <w:rFonts w:ascii="Times New Roman" w:hAnsi="Times New Roman"/>
          <w:color w:val="000000"/>
          <w:sz w:val="28"/>
          <w:szCs w:val="28"/>
          <w:lang w:eastAsia="en-US"/>
        </w:rPr>
        <w:t>Водоснабжение сельских поселений Муниципального района</w:t>
      </w:r>
      <w:r>
        <w:rPr>
          <w:rFonts w:cs="Times New Roman" w:ascii="Times New Roman" w:hAnsi="Times New Roman"/>
          <w:sz w:val="28"/>
          <w:szCs w:val="28"/>
        </w:rPr>
        <w:t>» предусматривает софинансирование развития водоснабжения (водопроводные сети) на сельских территориях;</w:t>
      </w:r>
    </w:p>
    <w:p>
      <w:pPr>
        <w:pStyle w:val="Normal"/>
        <w:spacing w:lineRule="auto" w:line="240" w:before="0" w:after="0"/>
        <w:ind w:firstLine="540"/>
        <w:jc w:val="both"/>
        <w:rPr/>
      </w:pPr>
      <w:r>
        <w:rPr>
          <w:rFonts w:cs="Times New Roman" w:ascii="Times New Roman" w:hAnsi="Times New Roman"/>
          <w:sz w:val="28"/>
          <w:szCs w:val="28"/>
        </w:rPr>
        <w:t>Исполнителем основного мероприятия является г</w:t>
      </w:r>
      <w:r>
        <w:rPr>
          <w:rStyle w:val="81"/>
          <w:rFonts w:cs="Times New Roman" w:ascii="Times New Roman" w:hAnsi="Times New Roman"/>
          <w:color w:val="000000"/>
          <w:sz w:val="28"/>
          <w:szCs w:val="28"/>
          <w:lang w:eastAsia="en-US"/>
        </w:rPr>
        <w:t>лавный специалист-эксперт по вопросам строительства и архитектуры Администрации Тимского района Курской области</w:t>
      </w:r>
      <w:r>
        <w:rPr>
          <w:rFonts w:cs="Times New Roman" w:ascii="Times New Roman" w:hAnsi="Times New Roman"/>
          <w:sz w:val="28"/>
          <w:szCs w:val="28"/>
        </w:rPr>
        <w:t>.</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Срок реализации основного мероприятия: 2020 - 2026 годы, этапы реализации не выделяются.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Реализация основного мероприятия обеспечивает достижение показателей 4, указанных в приложении № 1 к муниципальной программе.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Не реализация основного мероприятия повлечет снижение качества жизни сельского населения.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IV. Прогноз сводных показателей муниципальных заданий</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по этапам реализации Подпрограммы 1</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рамках реализации Подпрограммы 1 муниципальные услуги (работы) не оказываются.</w:t>
      </w:r>
    </w:p>
    <w:p>
      <w:pPr>
        <w:pStyle w:val="Normal"/>
        <w:numPr>
          <w:ilvl w:val="0"/>
          <w:numId w:val="0"/>
        </w:numPr>
        <w:spacing w:before="0" w:after="0"/>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V. Характеристика основных мероприятий, реализуемых</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муниципальными образованиями Тимского района Курской области</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pPr>
      <w:r>
        <w:rPr>
          <w:rFonts w:cs="Times New Roman" w:ascii="Times New Roman" w:hAnsi="Times New Roman"/>
          <w:sz w:val="28"/>
          <w:szCs w:val="28"/>
        </w:rPr>
        <w:t>Мероприятия, осуществляемые муниципальными образованиями Тимского района Курской области в рамках реализации муниципальной программы не предусмотрены</w:t>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VI. Информация об участии предприятий и организаций</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независимо от их организационно-правовых форм и форм</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собственности, а также государственных внебюджетных фондов</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в реализации подпрограммы 1</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540"/>
        <w:jc w:val="both"/>
        <w:rPr>
          <w:rFonts w:ascii="Times New Roman" w:hAnsi="Times New Roman" w:cs="Times New Roman"/>
          <w:sz w:val="28"/>
          <w:szCs w:val="28"/>
        </w:rPr>
      </w:pPr>
      <w:r>
        <w:rPr>
          <w:rFonts w:cs="Times New Roman" w:ascii="Times New Roman" w:hAnsi="Times New Roman"/>
          <w:sz w:val="28"/>
          <w:szCs w:val="28"/>
        </w:rPr>
        <w:t>Предприятия и организации, а также государственные внебюджетные фонды в реализации подпрограммы 1 не участвуют.</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lang w:val="en-US"/>
        </w:rPr>
        <w:t>VI</w:t>
      </w:r>
      <w:r>
        <w:rPr>
          <w:rFonts w:cs="Times New Roman" w:ascii="Times New Roman" w:hAnsi="Times New Roman"/>
          <w:b/>
          <w:bCs/>
          <w:sz w:val="28"/>
          <w:szCs w:val="28"/>
        </w:rPr>
        <w:t>I. Обоснование объема финансовых ресурсов, необходимых</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для реализации подпрограммы 1</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hd w:val="clear" w:color="auto" w:fill="FFFFFF"/>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Определение объемов финансирования подпрограммы 1 осуществлялось на основе аналитических исследований и экспертных оценок текущего и прогнозного состояния агропромышленного комплекса района.</w:t>
      </w:r>
    </w:p>
    <w:p>
      <w:pPr>
        <w:pStyle w:val="Normal"/>
        <w:widowControl w:val="false"/>
        <w:shd w:val="clear" w:color="auto" w:fill="FFFFFF"/>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Объемы финансирования подпрограммы 1 позволят обеспечить возможность реализации мероприятий, направленных на достижение ее целей и задач.</w:t>
      </w:r>
    </w:p>
    <w:p>
      <w:pPr>
        <w:pStyle w:val="Normal"/>
        <w:widowControl w:val="false"/>
        <w:shd w:val="clear" w:color="auto" w:fill="FFFFFF"/>
        <w:spacing w:lineRule="auto" w:line="240" w:before="0" w:after="0"/>
        <w:ind w:firstLine="709"/>
        <w:jc w:val="both"/>
        <w:rPr/>
      </w:pPr>
      <w:r>
        <w:rPr>
          <w:rFonts w:cs="Times New Roman" w:ascii="Times New Roman" w:hAnsi="Times New Roman"/>
          <w:sz w:val="28"/>
          <w:szCs w:val="28"/>
          <w:lang w:eastAsia="ru-RU"/>
        </w:rPr>
        <w:t xml:space="preserve">Подробная информация по ресурсному обеспечению за счет средств областного бюджета и средств областного бюджета, источником финансового обеспечения которых являются средства федерального бюджета, с расшифровкой по основным мероприятиям подпрограммы 1, а также по годам реализации подпрограммы 1 приведена в </w:t>
      </w:r>
      <w:hyperlink r:id="rId20">
        <w:r>
          <w:rPr>
            <w:rFonts w:cs="Times New Roman" w:ascii="Times New Roman" w:hAnsi="Times New Roman"/>
            <w:sz w:val="28"/>
            <w:szCs w:val="28"/>
            <w:lang w:val="ru-RU"/>
          </w:rPr>
          <w:t>приложении № 5</w:t>
        </w:r>
      </w:hyperlink>
      <w:r>
        <w:rPr>
          <w:rFonts w:cs="Times New Roman" w:ascii="Times New Roman" w:hAnsi="Times New Roman"/>
          <w:sz w:val="28"/>
          <w:szCs w:val="28"/>
          <w:lang w:eastAsia="ru-RU"/>
        </w:rPr>
        <w:t xml:space="preserve"> к муниципальной программе.</w:t>
      </w:r>
    </w:p>
    <w:p>
      <w:pPr>
        <w:pStyle w:val="Normal"/>
        <w:widowControl w:val="false"/>
        <w:shd w:val="clear" w:color="auto" w:fill="FFFFFF"/>
        <w:spacing w:lineRule="auto" w:line="240" w:before="0" w:after="0"/>
        <w:ind w:firstLine="709"/>
        <w:jc w:val="both"/>
        <w:rPr/>
      </w:pPr>
      <w:r>
        <w:rPr>
          <w:rFonts w:cs="Times New Roman" w:ascii="Times New Roman" w:hAnsi="Times New Roman"/>
          <w:sz w:val="28"/>
          <w:szCs w:val="28"/>
          <w:lang w:eastAsia="ru-RU"/>
        </w:rPr>
        <w:t xml:space="preserve">Распределение объемов финансирования подпрограммы 1 по источникам финансирования приведено в </w:t>
      </w:r>
      <w:hyperlink r:id="rId21">
        <w:r>
          <w:rPr>
            <w:rFonts w:cs="Times New Roman" w:ascii="Times New Roman" w:hAnsi="Times New Roman"/>
            <w:sz w:val="28"/>
            <w:szCs w:val="28"/>
            <w:lang w:val="ru-RU"/>
          </w:rPr>
          <w:t>приложении № 6</w:t>
        </w:r>
      </w:hyperlink>
      <w:r>
        <w:rPr>
          <w:rFonts w:cs="Times New Roman" w:ascii="Times New Roman" w:hAnsi="Times New Roman"/>
          <w:sz w:val="28"/>
          <w:szCs w:val="28"/>
          <w:lang w:eastAsia="ru-RU"/>
        </w:rPr>
        <w:t xml:space="preserve"> к муниципальной программе.</w:t>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lang w:val="en-US"/>
        </w:rPr>
        <w:t>VIII</w:t>
      </w:r>
      <w:r>
        <w:rPr>
          <w:rFonts w:cs="Times New Roman" w:ascii="Times New Roman" w:hAnsi="Times New Roman"/>
          <w:b/>
          <w:bCs/>
          <w:sz w:val="28"/>
          <w:szCs w:val="28"/>
        </w:rPr>
        <w:t>. Анализ рисков реализации подпрограммы 1 и описание</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мер управления рисками</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hd w:val="clear" w:color="auto" w:fill="FFFFFF"/>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К основному риску реализации подпрограммы 1 относится неполное финансирование муниципальной программы, что не позволит достичь выполнения запланированных индикаторов (показателей) подпрограммы 1, обеспечить необходимые условия для увеличения объемов производства сельскохозяйственной продукции.</w:t>
      </w:r>
    </w:p>
    <w:p>
      <w:pPr>
        <w:sectPr>
          <w:headerReference w:type="default" r:id="rId22"/>
          <w:type w:val="nextPage"/>
          <w:pgSz w:w="11906" w:h="16838"/>
          <w:pgMar w:left="1701" w:right="851" w:header="709" w:top="1134" w:footer="0" w:bottom="1134" w:gutter="0"/>
          <w:pgNumType w:fmt="decimal"/>
          <w:formProt w:val="false"/>
          <w:titlePg/>
          <w:textDirection w:val="lrTb"/>
          <w:docGrid w:type="default" w:linePitch="360" w:charSpace="8192"/>
        </w:sectPr>
        <w:pStyle w:val="Normal"/>
        <w:widowControl w:val="false"/>
        <w:shd w:val="clear" w:color="auto" w:fill="FFFFFF"/>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К мерам управления рисками, которые могут оказать влияние на достижение запланированных целей, относятся обеспечение выделения бюджетных ассигнований в объемах, запланированных подпрограммой 1.</w:t>
      </w:r>
    </w:p>
    <w:p>
      <w:pPr>
        <w:pStyle w:val="Normal"/>
        <w:numPr>
          <w:ilvl w:val="0"/>
          <w:numId w:val="0"/>
        </w:numPr>
        <w:spacing w:lineRule="auto" w:line="240" w:before="0" w:after="0"/>
        <w:ind w:left="7740" w:hanging="0"/>
        <w:jc w:val="center"/>
        <w:outlineLvl w:val="0"/>
        <w:rPr>
          <w:rFonts w:ascii="Times New Roman" w:hAnsi="Times New Roman" w:cs="Times New Roman"/>
          <w:sz w:val="24"/>
          <w:szCs w:val="24"/>
        </w:rPr>
      </w:pPr>
      <w:r>
        <w:rPr>
          <w:rFonts w:cs="Times New Roman" w:ascii="Times New Roman" w:hAnsi="Times New Roman"/>
          <w:sz w:val="24"/>
          <w:szCs w:val="24"/>
        </w:rPr>
        <w:t>Приложение № 1</w:t>
      </w:r>
    </w:p>
    <w:p>
      <w:pPr>
        <w:pStyle w:val="Normal"/>
        <w:spacing w:lineRule="auto" w:line="240" w:before="0" w:after="0"/>
        <w:ind w:left="7740" w:hanging="0"/>
        <w:jc w:val="center"/>
        <w:rPr>
          <w:rFonts w:ascii="Times New Roman" w:hAnsi="Times New Roman" w:cs="Times New Roman"/>
          <w:sz w:val="24"/>
          <w:szCs w:val="24"/>
        </w:rPr>
      </w:pPr>
      <w:r>
        <w:rPr>
          <w:rFonts w:cs="Times New Roman" w:ascii="Times New Roman" w:hAnsi="Times New Roman"/>
          <w:sz w:val="24"/>
          <w:szCs w:val="24"/>
        </w:rPr>
        <w:t xml:space="preserve">к муниципальной программе Тимского района Курской области «Комплексное развитие сельских территорий Тимского района Курской области» от 19.12.2019 г. №722 </w:t>
      </w:r>
    </w:p>
    <w:p>
      <w:pPr>
        <w:pStyle w:val="NormalWeb"/>
        <w:spacing w:before="0" w:after="0"/>
        <w:ind w:left="7740" w:hanging="0"/>
        <w:jc w:val="center"/>
        <w:rPr>
          <w:rStyle w:val="3"/>
          <w:sz w:val="24"/>
          <w:szCs w:val="24"/>
        </w:rPr>
      </w:pPr>
      <w:r>
        <w:rPr>
          <w:rStyle w:val="3"/>
          <w:bCs/>
          <w:color w:val="000000"/>
          <w:sz w:val="24"/>
          <w:szCs w:val="24"/>
        </w:rPr>
        <w:t xml:space="preserve">(в ред. постановления Администрации Тимского района Курской </w:t>
      </w:r>
    </w:p>
    <w:p>
      <w:pPr>
        <w:pStyle w:val="ConsPlusNormal"/>
        <w:ind w:left="4500" w:hanging="0"/>
        <w:jc w:val="center"/>
        <w:rPr>
          <w:rFonts w:ascii="Times New Roman" w:hAnsi="Times New Roman" w:cs="Times New Roman"/>
          <w:sz w:val="24"/>
          <w:szCs w:val="24"/>
        </w:rPr>
      </w:pPr>
      <w:r>
        <w:rPr>
          <w:rStyle w:val="3"/>
          <w:sz w:val="24"/>
          <w:szCs w:val="24"/>
        </w:rPr>
        <w:t>от 21.04.2021 г. №349, от 15.12.2023 г. №715)</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bCs/>
          <w:sz w:val="24"/>
          <w:szCs w:val="24"/>
        </w:rPr>
      </w:pPr>
      <w:r>
        <w:rPr>
          <w:rFonts w:cs="Times New Roman" w:ascii="Times New Roman" w:hAnsi="Times New Roman"/>
          <w:b/>
          <w:bCs/>
          <w:sz w:val="24"/>
          <w:szCs w:val="24"/>
        </w:rPr>
        <w:t>СВЕДЕНИЯ</w:t>
      </w:r>
    </w:p>
    <w:p>
      <w:pPr>
        <w:pStyle w:val="Normal"/>
        <w:spacing w:lineRule="auto" w:line="240" w:before="0" w:after="0"/>
        <w:jc w:val="center"/>
        <w:rPr>
          <w:rFonts w:ascii="Times New Roman" w:hAnsi="Times New Roman" w:cs="Times New Roman"/>
          <w:b/>
          <w:b/>
          <w:bCs/>
          <w:sz w:val="24"/>
          <w:szCs w:val="24"/>
        </w:rPr>
      </w:pPr>
      <w:r>
        <w:rPr>
          <w:rFonts w:cs="Times New Roman" w:ascii="Times New Roman" w:hAnsi="Times New Roman"/>
          <w:b/>
          <w:bCs/>
          <w:sz w:val="24"/>
          <w:szCs w:val="24"/>
        </w:rPr>
        <w:t>О ПОКАЗАТЕЛЯХ (ИНДИКАТОРАХ) МУНИЦИПАЛЬНОЙ ПРОГРАММЫ ТИМСКОГО РАЙОНА</w:t>
      </w:r>
    </w:p>
    <w:p>
      <w:pPr>
        <w:pStyle w:val="Normal"/>
        <w:spacing w:lineRule="auto" w:line="240" w:before="0" w:after="0"/>
        <w:jc w:val="center"/>
        <w:rPr>
          <w:rFonts w:ascii="Times New Roman" w:hAnsi="Times New Roman" w:cs="Times New Roman"/>
          <w:b/>
          <w:b/>
          <w:bCs/>
          <w:sz w:val="24"/>
          <w:szCs w:val="24"/>
        </w:rPr>
      </w:pPr>
      <w:r>
        <w:rPr>
          <w:rFonts w:cs="Times New Roman" w:ascii="Times New Roman" w:hAnsi="Times New Roman"/>
          <w:b/>
          <w:bCs/>
          <w:sz w:val="24"/>
          <w:szCs w:val="24"/>
        </w:rPr>
        <w:t>КУРСКОЙ ОБЛАСТИ «КОМПЛЕКСНОЕ РАЗВИТИЕ СЕЛЬСКИХ ТЕРРИТОРИЙ ТИМСКОГО РАЙОНА КУРСКОЙ ОБЛАСТИ, ПОДПРОГРАММ МУНИЦИПАЛЬНОЙ  ПРОГРАММЫ И ИХ ЗНАЧЕНИЯХ</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tbl>
      <w:tblPr>
        <w:tblW w:w="14772" w:type="dxa"/>
        <w:jc w:val="left"/>
        <w:tblInd w:w="-58" w:type="dxa"/>
        <w:tblLayout w:type="fixed"/>
        <w:tblCellMar>
          <w:top w:w="102" w:type="dxa"/>
          <w:left w:w="57" w:type="dxa"/>
          <w:bottom w:w="102" w:type="dxa"/>
          <w:right w:w="62" w:type="dxa"/>
        </w:tblCellMar>
        <w:tblLook w:val="0000"/>
      </w:tblPr>
      <w:tblGrid>
        <w:gridCol w:w="579"/>
        <w:gridCol w:w="3088"/>
        <w:gridCol w:w="1049"/>
        <w:gridCol w:w="1510"/>
        <w:gridCol w:w="1489"/>
        <w:gridCol w:w="1418"/>
        <w:gridCol w:w="1421"/>
        <w:gridCol w:w="1355"/>
        <w:gridCol w:w="1369"/>
        <w:gridCol w:w="1492"/>
      </w:tblGrid>
      <w:tr>
        <w:trPr/>
        <w:tc>
          <w:tcPr>
            <w:tcW w:w="57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п/п</w:t>
            </w:r>
          </w:p>
        </w:tc>
        <w:tc>
          <w:tcPr>
            <w:tcW w:w="3088"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показателя (индикатора)</w:t>
            </w:r>
          </w:p>
        </w:tc>
        <w:tc>
          <w:tcPr>
            <w:tcW w:w="104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Ед. измерения</w:t>
            </w:r>
          </w:p>
        </w:tc>
        <w:tc>
          <w:tcPr>
            <w:tcW w:w="10054"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Значение показателей</w:t>
            </w:r>
          </w:p>
        </w:tc>
      </w:tr>
      <w:tr>
        <w:trPr>
          <w:trHeight w:val="399" w:hRule="atLeast"/>
        </w:trPr>
        <w:tc>
          <w:tcPr>
            <w:tcW w:w="57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308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10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15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 год</w:t>
            </w:r>
          </w:p>
        </w:tc>
        <w:tc>
          <w:tcPr>
            <w:tcW w:w="14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2021 год</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2022 год</w:t>
            </w:r>
          </w:p>
        </w:tc>
        <w:tc>
          <w:tcPr>
            <w:tcW w:w="14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2023 год</w:t>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2024 год</w:t>
            </w:r>
          </w:p>
        </w:tc>
        <w:tc>
          <w:tcPr>
            <w:tcW w:w="1369"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2025 год</w:t>
            </w:r>
          </w:p>
        </w:tc>
        <w:tc>
          <w:tcPr>
            <w:tcW w:w="14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2026 год</w:t>
            </w:r>
          </w:p>
        </w:tc>
      </w:tr>
      <w:tr>
        <w:trPr/>
        <w:tc>
          <w:tcPr>
            <w:tcW w:w="5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0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Количество реализованных проектов комплексного развития сельских территорий (сельских агломераций)</w:t>
            </w:r>
          </w:p>
        </w:tc>
        <w:tc>
          <w:tcPr>
            <w:tcW w:w="10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единиц</w:t>
            </w:r>
          </w:p>
        </w:tc>
        <w:tc>
          <w:tcPr>
            <w:tcW w:w="15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14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b w:val="false"/>
                <w:b w:val="false"/>
                <w:bCs w:val="false"/>
                <w:sz w:val="24"/>
                <w:szCs w:val="24"/>
              </w:rPr>
            </w:pPr>
            <w:r>
              <w:rPr>
                <w:rFonts w:cs="Times New Roman" w:ascii="Times New Roman" w:hAnsi="Times New Roman"/>
                <w:b w:val="false"/>
                <w:bCs w:val="false"/>
                <w:sz w:val="24"/>
                <w:szCs w:val="24"/>
              </w:rPr>
              <w:t>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4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69"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14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r>
      <w:tr>
        <w:trPr/>
        <w:tc>
          <w:tcPr>
            <w:tcW w:w="5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0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Ввод в эксплуатацию автомобильных дорог</w:t>
            </w:r>
          </w:p>
        </w:tc>
        <w:tc>
          <w:tcPr>
            <w:tcW w:w="10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км</w:t>
            </w:r>
          </w:p>
        </w:tc>
        <w:tc>
          <w:tcPr>
            <w:tcW w:w="15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4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4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69"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14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r>
      <w:tr>
        <w:trPr/>
        <w:tc>
          <w:tcPr>
            <w:tcW w:w="5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0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Ввод в действие распределительных газовых сетей в сельской местности</w:t>
            </w:r>
          </w:p>
        </w:tc>
        <w:tc>
          <w:tcPr>
            <w:tcW w:w="10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км</w:t>
            </w:r>
          </w:p>
        </w:tc>
        <w:tc>
          <w:tcPr>
            <w:tcW w:w="15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1,097</w:t>
            </w:r>
          </w:p>
        </w:tc>
        <w:tc>
          <w:tcPr>
            <w:tcW w:w="14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b w:val="false"/>
                <w:b w:val="false"/>
                <w:bCs w:val="false"/>
                <w:sz w:val="24"/>
                <w:szCs w:val="24"/>
              </w:rPr>
            </w:pPr>
            <w:r>
              <w:rPr>
                <w:rFonts w:cs="Times New Roman" w:ascii="Times New Roman" w:hAnsi="Times New Roman"/>
                <w:b w:val="false"/>
                <w:bCs w:val="false"/>
                <w:sz w:val="24"/>
                <w:szCs w:val="24"/>
              </w:rPr>
              <w:t>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4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69"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4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r>
      <w:tr>
        <w:trPr/>
        <w:tc>
          <w:tcPr>
            <w:tcW w:w="5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0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Ввод в действие локальных водопроводов в сельской местности</w:t>
            </w:r>
          </w:p>
        </w:tc>
        <w:tc>
          <w:tcPr>
            <w:tcW w:w="10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км</w:t>
            </w:r>
          </w:p>
        </w:tc>
        <w:tc>
          <w:tcPr>
            <w:tcW w:w="15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5,608</w:t>
            </w:r>
          </w:p>
        </w:tc>
        <w:tc>
          <w:tcPr>
            <w:tcW w:w="14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b w:val="false"/>
                <w:b w:val="false"/>
                <w:bCs w:val="false"/>
                <w:sz w:val="24"/>
                <w:szCs w:val="24"/>
              </w:rPr>
            </w:pPr>
            <w:r>
              <w:rPr>
                <w:rFonts w:cs="Times New Roman" w:ascii="Times New Roman" w:hAnsi="Times New Roman"/>
                <w:b w:val="false"/>
                <w:bCs w:val="false"/>
                <w:sz w:val="24"/>
                <w:szCs w:val="24"/>
              </w:rPr>
              <w:t>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14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69"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4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r>
        <w:br w:type="page"/>
      </w:r>
    </w:p>
    <w:p>
      <w:pPr>
        <w:pStyle w:val="Normal"/>
        <w:numPr>
          <w:ilvl w:val="0"/>
          <w:numId w:val="0"/>
        </w:numPr>
        <w:spacing w:lineRule="auto" w:line="240" w:before="0" w:after="0"/>
        <w:ind w:left="7740" w:hanging="0"/>
        <w:jc w:val="center"/>
        <w:outlineLvl w:val="0"/>
        <w:rPr>
          <w:rFonts w:ascii="Times New Roman" w:hAnsi="Times New Roman" w:cs="Times New Roman"/>
          <w:sz w:val="24"/>
          <w:szCs w:val="24"/>
        </w:rPr>
      </w:pPr>
      <w:r>
        <w:rPr>
          <w:rFonts w:cs="Times New Roman" w:ascii="Times New Roman" w:hAnsi="Times New Roman"/>
          <w:sz w:val="24"/>
          <w:szCs w:val="24"/>
        </w:rPr>
        <w:t>Приложение № 2</w:t>
      </w:r>
    </w:p>
    <w:p>
      <w:pPr>
        <w:pStyle w:val="Normal"/>
        <w:spacing w:lineRule="auto" w:line="240" w:before="0" w:after="0"/>
        <w:ind w:left="7740" w:hanging="0"/>
        <w:jc w:val="center"/>
        <w:rPr>
          <w:rFonts w:ascii="Times New Roman" w:hAnsi="Times New Roman" w:cs="Times New Roman"/>
          <w:sz w:val="24"/>
          <w:szCs w:val="24"/>
        </w:rPr>
      </w:pPr>
      <w:r>
        <w:rPr>
          <w:rFonts w:cs="Times New Roman" w:ascii="Times New Roman" w:hAnsi="Times New Roman"/>
          <w:sz w:val="24"/>
          <w:szCs w:val="24"/>
        </w:rPr>
        <w:t>к муниципальной программе Тимского района Курской области «Комплексное развитие сельских территорий Тимского района Курской области» от 19.12.2019 г. №722</w:t>
      </w:r>
    </w:p>
    <w:p>
      <w:pPr>
        <w:pStyle w:val="NormalWeb"/>
        <w:spacing w:before="0" w:after="0"/>
        <w:ind w:left="7740" w:hanging="0"/>
        <w:jc w:val="center"/>
        <w:rPr>
          <w:rStyle w:val="3"/>
          <w:sz w:val="24"/>
          <w:szCs w:val="24"/>
        </w:rPr>
      </w:pPr>
      <w:r>
        <w:rPr>
          <w:rStyle w:val="3"/>
          <w:bCs/>
          <w:color w:val="000000"/>
          <w:sz w:val="24"/>
          <w:szCs w:val="24"/>
        </w:rPr>
        <w:t xml:space="preserve">(в ред. постановления Администрации Тимского района Курской </w:t>
      </w:r>
    </w:p>
    <w:p>
      <w:pPr>
        <w:pStyle w:val="NormalWeb"/>
        <w:bidi w:val="0"/>
        <w:spacing w:lineRule="auto" w:line="240" w:before="0" w:after="0"/>
        <w:ind w:left="3402" w:right="0" w:hanging="0"/>
        <w:jc w:val="center"/>
        <w:rPr>
          <w:rFonts w:ascii="Times New Roman" w:hAnsi="Times New Roman" w:cs="Times New Roman"/>
          <w:sz w:val="24"/>
          <w:szCs w:val="24"/>
        </w:rPr>
      </w:pPr>
      <w:r>
        <w:rPr>
          <w:rStyle w:val="3"/>
          <w:sz w:val="24"/>
          <w:szCs w:val="24"/>
        </w:rPr>
        <w:t>от 15.12.2023 г. №715)</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ПЕРЕЧЕНЬ ПОДПРОГРАММ И ОСНОВНЫХ МЕРОПРИЯТИЙ МУНИЦИПАЛЬНОЙ ПРОГРАММЫ ТИМСКОГО РАЙОНА КУРСКОЙ ОБЛАСТИ «КОМПЛЕКСНОЕ РАЗВИТИЕ СЕЛЬСКИХ ТЕРРИТОРИЙ</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 xml:space="preserve"> </w:t>
      </w:r>
      <w:r>
        <w:rPr>
          <w:rFonts w:cs="Times New Roman" w:ascii="Times New Roman" w:hAnsi="Times New Roman"/>
          <w:b/>
          <w:bCs/>
          <w:sz w:val="28"/>
          <w:szCs w:val="28"/>
        </w:rPr>
        <w:t>КУРСКОЙ ОБЛАСТИ»</w:t>
      </w:r>
    </w:p>
    <w:tbl>
      <w:tblPr>
        <w:tblW w:w="15309" w:type="dxa"/>
        <w:jc w:val="left"/>
        <w:tblInd w:w="-58" w:type="dxa"/>
        <w:tblLayout w:type="fixed"/>
        <w:tblCellMar>
          <w:top w:w="102" w:type="dxa"/>
          <w:left w:w="57" w:type="dxa"/>
          <w:bottom w:w="102" w:type="dxa"/>
          <w:right w:w="62" w:type="dxa"/>
        </w:tblCellMar>
        <w:tblLook w:val="0000"/>
      </w:tblPr>
      <w:tblGrid>
        <w:gridCol w:w="601"/>
        <w:gridCol w:w="2581"/>
        <w:gridCol w:w="2049"/>
        <w:gridCol w:w="1287"/>
        <w:gridCol w:w="1315"/>
        <w:gridCol w:w="2777"/>
        <w:gridCol w:w="2541"/>
        <w:gridCol w:w="2156"/>
      </w:tblGrid>
      <w:tr>
        <w:trPr/>
        <w:tc>
          <w:tcPr>
            <w:tcW w:w="60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п/п</w:t>
            </w:r>
          </w:p>
        </w:tc>
        <w:tc>
          <w:tcPr>
            <w:tcW w:w="258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Номер и наименование ведомственной целевой программы, основного мероприятия</w:t>
            </w:r>
          </w:p>
        </w:tc>
        <w:tc>
          <w:tcPr>
            <w:tcW w:w="204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Ответственный исполнитель</w:t>
            </w:r>
          </w:p>
        </w:tc>
        <w:tc>
          <w:tcPr>
            <w:tcW w:w="260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Срок</w:t>
            </w:r>
          </w:p>
        </w:tc>
        <w:tc>
          <w:tcPr>
            <w:tcW w:w="277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Ожидаемый непосредственный результат (краткое описание)</w:t>
            </w:r>
          </w:p>
        </w:tc>
        <w:tc>
          <w:tcPr>
            <w:tcW w:w="254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Основные направления реализации</w:t>
            </w:r>
          </w:p>
        </w:tc>
        <w:tc>
          <w:tcPr>
            <w:tcW w:w="2156"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Связь с показателями  программы (подпрограммы)</w:t>
            </w:r>
          </w:p>
        </w:tc>
      </w:tr>
      <w:tr>
        <w:trPr/>
        <w:tc>
          <w:tcPr>
            <w:tcW w:w="60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58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04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начала реализации</w:t>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окончания реализации</w:t>
            </w:r>
          </w:p>
        </w:tc>
        <w:tc>
          <w:tcPr>
            <w:tcW w:w="277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254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215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c>
          <w:tcPr>
            <w:tcW w:w="15307"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Подпрограмма 1 «Создание и развитие инфраструктуры на сельских территориях»</w:t>
            </w:r>
          </w:p>
        </w:tc>
      </w:tr>
      <w:tr>
        <w:trPr/>
        <w:tc>
          <w:tcPr>
            <w:tcW w:w="15307"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c>
          <w:tcPr>
            <w:tcW w:w="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1</w:t>
            </w:r>
          </w:p>
        </w:tc>
        <w:tc>
          <w:tcPr>
            <w:tcW w:w="25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Основное мероприятие  1.1 «Современный облик сельских территорий»</w:t>
            </w:r>
          </w:p>
        </w:tc>
        <w:tc>
          <w:tcPr>
            <w:tcW w:w="20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hanging="0"/>
              <w:jc w:val="both"/>
              <w:rPr>
                <w:rFonts w:ascii="Times New Roman" w:hAnsi="Times New Roman" w:cs="Times New Roman"/>
                <w:sz w:val="24"/>
                <w:szCs w:val="24"/>
              </w:rPr>
            </w:pPr>
            <w:r>
              <w:rPr>
                <w:rFonts w:cs="Times New Roman" w:ascii="Times New Roman" w:hAnsi="Times New Roman"/>
                <w:sz w:val="24"/>
                <w:szCs w:val="24"/>
              </w:rPr>
              <w:t>Главный специалист-эксперт по вопросам строительства и архитектуры Администрации Тимского района Курской области.</w:t>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w:t>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2026</w:t>
            </w:r>
          </w:p>
        </w:tc>
        <w:tc>
          <w:tcPr>
            <w:tcW w:w="27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реализовать проектов комплексного развития сельских территорий</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25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В рамках данного мероприятия предусматривается софинансирование на строительство, реконструкцию, модернизацию и капитальный ремонт объектов социальной и культурной сферы (дошкольные образовательные и общеобразовательные организации, учреждения культурно-досугового типа, спортивные сооружения), строительство социокультурных и многофункциональных центров;</w:t>
            </w:r>
          </w:p>
          <w:p>
            <w:pPr>
              <w:pStyle w:val="Normal"/>
              <w:widowControl w:val="false"/>
              <w:spacing w:lineRule="auto" w:line="240" w:before="0" w:after="0"/>
              <w:rPr>
                <w:rFonts w:ascii="Times New Roman" w:hAnsi="Times New Roman" w:cs="Times New Roman"/>
              </w:rPr>
            </w:pPr>
            <w:r>
              <w:rPr>
                <w:rFonts w:cs="Times New Roman" w:ascii="Times New Roman" w:hAnsi="Times New Roman"/>
              </w:rPr>
              <w:t>на приобретение новой автомобильной техники и оборудования для обеспечения функционирования существующих объектов социальной и культурной сферы, в том числе автобусов, санитарного транспорта, оборудования для предоставления дистанционных услуг при условии, что на приобретаемую автомобильную технику и оборудование Министерством промышленности и торговли Российской Федерации выдано заключение о подтверждении производства промышленной продукции на территории Российской Федерации или заключение об отнесении продукции к промышленной продукции, не имеющей произведенных в Российской Федерации аналогов;</w:t>
            </w:r>
          </w:p>
          <w:p>
            <w:pPr>
              <w:pStyle w:val="Normal"/>
              <w:widowControl w:val="false"/>
              <w:spacing w:lineRule="auto" w:line="240" w:before="0" w:after="0"/>
              <w:rPr>
                <w:rFonts w:ascii="Times New Roman" w:hAnsi="Times New Roman" w:cs="Times New Roman"/>
              </w:rPr>
            </w:pPr>
            <w:r>
              <w:rPr>
                <w:rFonts w:cs="Times New Roman" w:ascii="Times New Roman" w:hAnsi="Times New Roman"/>
              </w:rPr>
              <w:t>на развитие водоснабжения (строительство и реконструкция систем водоотведения и канализации, очистных сооружений, станций обезжелезивания воды, локальных водопроводов, водозаборных сооружений) развитие жилищно-коммунальных объектов (строительство блочномодульных котельных и перевод многоквартирных жилых домой на индивидуальное отопление);</w:t>
            </w:r>
          </w:p>
          <w:p>
            <w:pPr>
              <w:pStyle w:val="Normal"/>
              <w:widowControl w:val="false"/>
              <w:spacing w:lineRule="auto" w:line="240" w:before="0" w:after="0"/>
              <w:rPr>
                <w:rFonts w:ascii="Times New Roman" w:hAnsi="Times New Roman" w:cs="Times New Roman"/>
              </w:rPr>
            </w:pPr>
            <w:r>
              <w:rPr>
                <w:rFonts w:cs="Times New Roman" w:ascii="Times New Roman" w:hAnsi="Times New Roman"/>
              </w:rPr>
              <w:t>на развитие энергообеспечения (строительство, приобретение и монтаж газо-поршневых установок, газгольдеров, распределительных газовых сетей,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использовании энергосберегающих технологий), строительство и оборудование автономных и возобновляемых источников энергии с применением технологий энергосбережения</w:t>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Реализация основного мероприятия обеспечивает достижение показателя 1, указанного в приложении № 1 к программе</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rHeight w:val="1453" w:hRule="atLeast"/>
        </w:trPr>
        <w:tc>
          <w:tcPr>
            <w:tcW w:w="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2</w:t>
            </w:r>
          </w:p>
        </w:tc>
        <w:tc>
          <w:tcPr>
            <w:tcW w:w="25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Основное мероприятие  1.2 «Развитие транспортной инфраструктуры»</w:t>
            </w:r>
          </w:p>
        </w:tc>
        <w:tc>
          <w:tcPr>
            <w:tcW w:w="20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hanging="0"/>
              <w:jc w:val="both"/>
              <w:rPr>
                <w:rFonts w:ascii="Times New Roman" w:hAnsi="Times New Roman" w:cs="Times New Roman"/>
                <w:sz w:val="24"/>
                <w:szCs w:val="24"/>
              </w:rPr>
            </w:pPr>
            <w:r>
              <w:rPr>
                <w:rFonts w:cs="Times New Roman" w:ascii="Times New Roman" w:hAnsi="Times New Roman"/>
                <w:sz w:val="24"/>
                <w:szCs w:val="24"/>
              </w:rPr>
              <w:t>Главный специалист-эксперт по вопросам строительства и архитектуры Администрации Тимского района Курской области.</w:t>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w:t>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2026</w:t>
            </w:r>
          </w:p>
        </w:tc>
        <w:tc>
          <w:tcPr>
            <w:tcW w:w="27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ввести в эксплуатацию автомобильные дороги общего пользования с твердым покрытием, ведущие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25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В рамках данного мероприятия предусматривается софинансирование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Реализация основного мероприятия обеспечивает достижение показателя 2, указанного в приложении № 1 к программе</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c>
          <w:tcPr>
            <w:tcW w:w="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8"/>
                <w:szCs w:val="28"/>
                <w:lang w:val="en-US"/>
              </w:rPr>
            </w:pPr>
            <w:r>
              <w:rPr>
                <w:rFonts w:cs="Times New Roman" w:ascii="Times New Roman" w:hAnsi="Times New Roman"/>
                <w:sz w:val="28"/>
                <w:szCs w:val="28"/>
                <w:lang w:val="en-US"/>
              </w:rPr>
              <w:t>3</w:t>
            </w:r>
          </w:p>
        </w:tc>
        <w:tc>
          <w:tcPr>
            <w:tcW w:w="25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Основное мероприятие  1.3 «</w:t>
            </w:r>
            <w:r>
              <w:rPr>
                <w:rStyle w:val="Style17"/>
                <w:rFonts w:ascii="Times New Roman" w:hAnsi="Times New Roman"/>
                <w:color w:val="000000"/>
                <w:lang w:eastAsia="en-US"/>
              </w:rPr>
              <w:t>Газоснабжение сельских поселений Муниципального района</w:t>
            </w:r>
            <w:r>
              <w:rPr>
                <w:rFonts w:cs="Times New Roman" w:ascii="Times New Roman" w:hAnsi="Times New Roman"/>
                <w:sz w:val="24"/>
                <w:szCs w:val="24"/>
              </w:rPr>
              <w:t>»</w:t>
            </w:r>
          </w:p>
        </w:tc>
        <w:tc>
          <w:tcPr>
            <w:tcW w:w="20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hanging="0"/>
              <w:jc w:val="both"/>
              <w:rPr>
                <w:rFonts w:ascii="Times New Roman" w:hAnsi="Times New Roman" w:cs="Times New Roman"/>
                <w:sz w:val="24"/>
                <w:szCs w:val="24"/>
              </w:rPr>
            </w:pPr>
            <w:r>
              <w:rPr>
                <w:rFonts w:cs="Times New Roman" w:ascii="Times New Roman" w:hAnsi="Times New Roman"/>
                <w:sz w:val="24"/>
                <w:szCs w:val="24"/>
              </w:rPr>
              <w:t>Главный специалист-эксперт по вопросам строительства и архитектуры Администрации Тимского района Курской области.</w:t>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w:t>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2026</w:t>
            </w:r>
          </w:p>
        </w:tc>
        <w:tc>
          <w:tcPr>
            <w:tcW w:w="27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ввести в действие объекты распределительных газовых сетей</w:t>
            </w:r>
          </w:p>
        </w:tc>
        <w:tc>
          <w:tcPr>
            <w:tcW w:w="25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rPr>
            </w:pPr>
            <w:r>
              <w:rPr>
                <w:rFonts w:cs="Times New Roman" w:ascii="Times New Roman" w:hAnsi="Times New Roman"/>
              </w:rPr>
              <w:t>Указанное мероприятие предусматривает софинансирование развития газификации (распределительные газовые сети) на сельских территориях</w:t>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Реализация основного мероприятия обеспечивает достижение показателей 3, указанных в приложении № 1 к программе</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c>
          <w:tcPr>
            <w:tcW w:w="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4</w:t>
            </w:r>
          </w:p>
        </w:tc>
        <w:tc>
          <w:tcPr>
            <w:tcW w:w="25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Основное мероприятие  1.4 «</w:t>
            </w:r>
            <w:r>
              <w:rPr>
                <w:rStyle w:val="Style17"/>
                <w:rFonts w:ascii="Times New Roman" w:hAnsi="Times New Roman"/>
                <w:color w:val="000000"/>
                <w:lang w:eastAsia="en-US"/>
              </w:rPr>
              <w:t>Водоснабжение сельских поселений Муниципального района</w:t>
            </w:r>
            <w:r>
              <w:rPr>
                <w:rFonts w:cs="Times New Roman" w:ascii="Times New Roman" w:hAnsi="Times New Roman"/>
                <w:sz w:val="24"/>
                <w:szCs w:val="24"/>
              </w:rPr>
              <w:t>»</w:t>
            </w:r>
          </w:p>
        </w:tc>
        <w:tc>
          <w:tcPr>
            <w:tcW w:w="20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hanging="0"/>
              <w:jc w:val="both"/>
              <w:rPr>
                <w:rFonts w:ascii="Times New Roman" w:hAnsi="Times New Roman" w:cs="Times New Roman"/>
                <w:sz w:val="24"/>
                <w:szCs w:val="24"/>
              </w:rPr>
            </w:pPr>
            <w:r>
              <w:rPr>
                <w:rFonts w:cs="Times New Roman" w:ascii="Times New Roman" w:hAnsi="Times New Roman"/>
                <w:sz w:val="24"/>
                <w:szCs w:val="24"/>
              </w:rPr>
              <w:t>Главный специалист-эксперт по вопросам строительства и архитектуры Администрации Тимского района Курской области.</w:t>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w:t>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2026</w:t>
            </w:r>
          </w:p>
        </w:tc>
        <w:tc>
          <w:tcPr>
            <w:tcW w:w="27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ввести в действие объекты локальных водопроводов</w:t>
            </w:r>
          </w:p>
        </w:tc>
        <w:tc>
          <w:tcPr>
            <w:tcW w:w="25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rPr>
            </w:pPr>
            <w:r>
              <w:rPr>
                <w:rFonts w:cs="Times New Roman" w:ascii="Times New Roman" w:hAnsi="Times New Roman"/>
              </w:rPr>
              <w:t>Указанное мероприятие предусматривает софинансирование развития водоснабжения (водопроводные сети) на сельских территориях</w:t>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Реализация основного мероприятия обеспечивает достижение показателей 4, указанных в приложении № 1 к программе</w:t>
            </w:r>
          </w:p>
        </w:tc>
      </w:tr>
    </w:tbl>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7740" w:hanging="0"/>
        <w:jc w:val="center"/>
        <w:outlineLvl w:val="0"/>
        <w:rPr>
          <w:rFonts w:ascii="Times New Roman" w:hAnsi="Times New Roman" w:cs="Times New Roman"/>
          <w:sz w:val="24"/>
          <w:szCs w:val="24"/>
        </w:rPr>
      </w:pPr>
      <w:r>
        <w:rPr>
          <w:rFonts w:cs="Times New Roman" w:ascii="Times New Roman" w:hAnsi="Times New Roman"/>
          <w:sz w:val="24"/>
          <w:szCs w:val="24"/>
        </w:rPr>
        <w:t>Приложение № 3</w:t>
      </w:r>
    </w:p>
    <w:p>
      <w:pPr>
        <w:pStyle w:val="Normal"/>
        <w:spacing w:lineRule="auto" w:line="240" w:before="0" w:after="0"/>
        <w:ind w:left="7740" w:hanging="0"/>
        <w:jc w:val="center"/>
        <w:rPr>
          <w:rFonts w:ascii="Times New Roman" w:hAnsi="Times New Roman" w:cs="Times New Roman"/>
          <w:sz w:val="24"/>
          <w:szCs w:val="24"/>
        </w:rPr>
      </w:pPr>
      <w:r>
        <w:rPr>
          <w:rFonts w:cs="Times New Roman" w:ascii="Times New Roman" w:hAnsi="Times New Roman"/>
          <w:sz w:val="24"/>
          <w:szCs w:val="24"/>
        </w:rPr>
        <w:t>к муниципальной программе Тимского района Курской области «Комплексное развитие сельских территорий Тимского района Курской области» от 19.12.2019 г. №722</w:t>
      </w:r>
    </w:p>
    <w:p>
      <w:pPr>
        <w:pStyle w:val="NormalWeb"/>
        <w:spacing w:before="0" w:after="0"/>
        <w:ind w:left="7740" w:hanging="0"/>
        <w:jc w:val="center"/>
        <w:rPr>
          <w:rStyle w:val="3"/>
          <w:sz w:val="24"/>
          <w:szCs w:val="24"/>
        </w:rPr>
      </w:pPr>
      <w:r>
        <w:rPr>
          <w:rStyle w:val="3"/>
          <w:bCs/>
          <w:color w:val="000000"/>
          <w:sz w:val="24"/>
          <w:szCs w:val="24"/>
        </w:rPr>
        <w:t xml:space="preserve">(в ред. постановления Администрации Тимского района Курской </w:t>
      </w:r>
    </w:p>
    <w:p>
      <w:pPr>
        <w:pStyle w:val="NormalWeb"/>
        <w:bidi w:val="0"/>
        <w:spacing w:lineRule="auto" w:line="240" w:before="0" w:after="0"/>
        <w:ind w:left="3402" w:right="0" w:hanging="0"/>
        <w:jc w:val="center"/>
        <w:rPr>
          <w:rFonts w:ascii="Times New Roman" w:hAnsi="Times New Roman" w:cs="Times New Roman"/>
          <w:sz w:val="24"/>
          <w:szCs w:val="24"/>
        </w:rPr>
      </w:pPr>
      <w:r>
        <w:rPr>
          <w:rStyle w:val="3"/>
          <w:sz w:val="24"/>
          <w:szCs w:val="24"/>
        </w:rPr>
        <w:t>от 15.12.2023 г. №715)</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jc w:val="center"/>
        <w:rPr>
          <w:sz w:val="24"/>
          <w:szCs w:val="24"/>
        </w:rPr>
      </w:pPr>
      <w:r>
        <w:rPr>
          <w:rFonts w:cs="Times New Roman" w:ascii="Times New Roman" w:hAnsi="Times New Roman"/>
          <w:b/>
          <w:bCs/>
          <w:sz w:val="24"/>
          <w:szCs w:val="24"/>
        </w:rPr>
        <w:t>СВЕДЕНИЯ</w:t>
      </w:r>
    </w:p>
    <w:p>
      <w:pPr>
        <w:pStyle w:val="Normal"/>
        <w:spacing w:lineRule="auto" w:line="240" w:before="0" w:after="0"/>
        <w:jc w:val="center"/>
        <w:rPr>
          <w:sz w:val="24"/>
          <w:szCs w:val="24"/>
        </w:rPr>
      </w:pPr>
      <w:r>
        <w:rPr>
          <w:rFonts w:cs="Times New Roman" w:ascii="Times New Roman" w:hAnsi="Times New Roman"/>
          <w:b/>
          <w:bCs/>
          <w:sz w:val="24"/>
          <w:szCs w:val="24"/>
        </w:rPr>
        <w:t>ОБ ОСНОВНЫХ МЕРАХ ПРАВОВОГО РЕГУЛИРОВАНИЯ В СФЕРЕ РЕАЛИЗАЦИИ</w:t>
      </w:r>
    </w:p>
    <w:p>
      <w:pPr>
        <w:pStyle w:val="Normal"/>
        <w:spacing w:lineRule="auto" w:line="240" w:before="0" w:after="0"/>
        <w:jc w:val="center"/>
        <w:rPr>
          <w:sz w:val="24"/>
          <w:szCs w:val="24"/>
        </w:rPr>
      </w:pPr>
      <w:r>
        <w:rPr>
          <w:rFonts w:cs="Times New Roman" w:ascii="Times New Roman" w:hAnsi="Times New Roman"/>
          <w:b/>
          <w:bCs/>
          <w:sz w:val="24"/>
          <w:szCs w:val="24"/>
        </w:rPr>
        <w:t>МУНИЦИПАЛЬНОЙ  ПРОГРАММЫ ТИМСКОГО РАЙОНА КУРСКОЙ ОБЛАСТИ</w:t>
      </w:r>
    </w:p>
    <w:p>
      <w:pPr>
        <w:pStyle w:val="Normal"/>
        <w:spacing w:lineRule="auto" w:line="240" w:before="0" w:after="0"/>
        <w:jc w:val="center"/>
        <w:rPr>
          <w:sz w:val="24"/>
          <w:szCs w:val="24"/>
        </w:rPr>
      </w:pPr>
      <w:r>
        <w:rPr>
          <w:rFonts w:cs="Times New Roman" w:ascii="Times New Roman" w:hAnsi="Times New Roman"/>
          <w:b/>
          <w:bCs/>
          <w:sz w:val="24"/>
          <w:szCs w:val="24"/>
        </w:rPr>
        <w:t>«КОМПЛЕКСНОЕ РАЗВИТИЕ СЕЛЬСКИХ ТЕРРИТОРИЙ ТИМСКОГО РАЙОНА</w:t>
      </w:r>
    </w:p>
    <w:p>
      <w:pPr>
        <w:pStyle w:val="Normal"/>
        <w:spacing w:lineRule="auto" w:line="240" w:before="0" w:after="0"/>
        <w:jc w:val="center"/>
        <w:rPr>
          <w:sz w:val="24"/>
          <w:szCs w:val="24"/>
        </w:rPr>
      </w:pPr>
      <w:r>
        <w:rPr>
          <w:rFonts w:cs="Times New Roman" w:ascii="Times New Roman" w:hAnsi="Times New Roman"/>
          <w:b/>
          <w:bCs/>
          <w:sz w:val="24"/>
          <w:szCs w:val="24"/>
        </w:rPr>
        <w:t>КУРСКОЙ ОБЛАСТИ»</w:t>
      </w:r>
    </w:p>
    <w:p>
      <w:pPr>
        <w:pStyle w:val="Normal"/>
        <w:numPr>
          <w:ilvl w:val="0"/>
          <w:numId w:val="0"/>
        </w:numPr>
        <w:spacing w:lineRule="auto" w:line="240" w:before="0" w:after="0"/>
        <w:ind w:left="0" w:hanging="0"/>
        <w:jc w:val="both"/>
        <w:outlineLvl w:val="0"/>
        <w:rPr>
          <w:rFonts w:ascii="Times New Roman" w:hAnsi="Times New Roman" w:cs="Times New Roman"/>
          <w:sz w:val="28"/>
          <w:szCs w:val="28"/>
        </w:rPr>
      </w:pPr>
      <w:r>
        <w:rPr>
          <w:rFonts w:cs="Times New Roman" w:ascii="Times New Roman" w:hAnsi="Times New Roman"/>
          <w:sz w:val="28"/>
          <w:szCs w:val="28"/>
        </w:rPr>
      </w:r>
    </w:p>
    <w:tbl>
      <w:tblPr>
        <w:tblW w:w="14601" w:type="dxa"/>
        <w:jc w:val="left"/>
        <w:tblInd w:w="-58" w:type="dxa"/>
        <w:tblLayout w:type="fixed"/>
        <w:tblCellMar>
          <w:top w:w="102" w:type="dxa"/>
          <w:left w:w="57" w:type="dxa"/>
          <w:bottom w:w="102" w:type="dxa"/>
          <w:right w:w="62" w:type="dxa"/>
        </w:tblCellMar>
        <w:tblLook w:val="0000"/>
      </w:tblPr>
      <w:tblGrid>
        <w:gridCol w:w="3828"/>
        <w:gridCol w:w="3402"/>
        <w:gridCol w:w="3402"/>
        <w:gridCol w:w="3968"/>
      </w:tblGrid>
      <w:tr>
        <w:trPr/>
        <w:tc>
          <w:tcPr>
            <w:tcW w:w="38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Вид нормативного правового акта</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Основные положения нормативного правового акта</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Ответственный исполнитель и соисполнители</w:t>
            </w:r>
          </w:p>
        </w:tc>
        <w:tc>
          <w:tcPr>
            <w:tcW w:w="39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Ожидаемые сроки исполнения</w:t>
            </w:r>
          </w:p>
        </w:tc>
      </w:tr>
      <w:tr>
        <w:trPr>
          <w:trHeight w:val="275" w:hRule="atLeast"/>
        </w:trPr>
        <w:tc>
          <w:tcPr>
            <w:tcW w:w="14600"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Подпрограмма 1 «Создание и развитие инфраструктуры на сельских территориях»</w:t>
            </w:r>
          </w:p>
        </w:tc>
      </w:tr>
      <w:tr>
        <w:trPr/>
        <w:tc>
          <w:tcPr>
            <w:tcW w:w="38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 Постановление Администрации Тимского района Курской области</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«Об утверждении муниципальной программы Тимского района  Курской области  «Комплексное развитие сельских территорий Тимского района Курской области»</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hanging="0"/>
              <w:jc w:val="both"/>
              <w:rPr>
                <w:rFonts w:ascii="Times New Roman" w:hAnsi="Times New Roman" w:cs="Times New Roman"/>
                <w:sz w:val="24"/>
                <w:szCs w:val="24"/>
              </w:rPr>
            </w:pPr>
            <w:r>
              <w:rPr>
                <w:rFonts w:cs="Times New Roman" w:ascii="Times New Roman" w:hAnsi="Times New Roman"/>
                <w:sz w:val="24"/>
                <w:szCs w:val="24"/>
              </w:rPr>
              <w:t>Главный специалист-эксперт по вопросам строительства и архитектуры Администрации Тимского района Курской области.</w:t>
            </w:r>
          </w:p>
        </w:tc>
        <w:tc>
          <w:tcPr>
            <w:tcW w:w="39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lang w:val="en-US"/>
              </w:rPr>
              <w:t xml:space="preserve">IV </w:t>
            </w:r>
            <w:r>
              <w:rPr>
                <w:rFonts w:cs="Times New Roman" w:ascii="Times New Roman" w:hAnsi="Times New Roman"/>
                <w:sz w:val="24"/>
                <w:szCs w:val="24"/>
              </w:rPr>
              <w:t>квартал 2019 года</w:t>
            </w:r>
          </w:p>
        </w:tc>
      </w:tr>
      <w:tr>
        <w:trPr/>
        <w:tc>
          <w:tcPr>
            <w:tcW w:w="38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 постановление о внесении изменений в постановление Администрации Тимского района Курской области «Об утверждении муниципальной программы Тимского района  Курской области  «Комплексное развитие сельских территорий Тимского района Курской области»</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Style w:val="10"/>
                <w:rFonts w:ascii="Times New Roman" w:hAnsi="Times New Roman"/>
                <w:color w:val="000000"/>
                <w:sz w:val="24"/>
                <w:szCs w:val="24"/>
                <w:lang w:eastAsia="en-US"/>
              </w:rPr>
              <w:t>О внесении изменений в муниципальную программу</w:t>
            </w:r>
            <w:r>
              <w:rPr>
                <w:rStyle w:val="10"/>
                <w:rFonts w:ascii="Times New Roman" w:hAnsi="Times New Roman"/>
                <w:b/>
                <w:color w:val="000000"/>
                <w:sz w:val="24"/>
                <w:szCs w:val="24"/>
                <w:lang w:eastAsia="en-US"/>
              </w:rPr>
              <w:t xml:space="preserve"> </w:t>
            </w:r>
            <w:r>
              <w:rPr>
                <w:rStyle w:val="3"/>
                <w:b/>
                <w:bCs/>
                <w:color w:val="000000"/>
                <w:sz w:val="24"/>
                <w:szCs w:val="24"/>
              </w:rPr>
              <w:t>«</w:t>
            </w:r>
            <w:r>
              <w:rPr>
                <w:rFonts w:cs="Times New Roman" w:ascii="Times New Roman" w:hAnsi="Times New Roman"/>
                <w:sz w:val="24"/>
                <w:szCs w:val="24"/>
              </w:rPr>
              <w:t>Комплексное развитие сельских территорий Тимского района Курской области</w:t>
            </w:r>
            <w:r>
              <w:rPr>
                <w:rStyle w:val="3"/>
                <w:b/>
                <w:bCs/>
                <w:color w:val="000000"/>
                <w:sz w:val="24"/>
                <w:szCs w:val="24"/>
              </w:rPr>
              <w:t>»</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hanging="0"/>
              <w:jc w:val="both"/>
              <w:rPr>
                <w:rFonts w:ascii="Times New Roman" w:hAnsi="Times New Roman" w:cs="Times New Roman"/>
                <w:sz w:val="24"/>
                <w:szCs w:val="24"/>
              </w:rPr>
            </w:pPr>
            <w:r>
              <w:rPr>
                <w:rFonts w:cs="Times New Roman" w:ascii="Times New Roman" w:hAnsi="Times New Roman"/>
                <w:sz w:val="24"/>
                <w:szCs w:val="24"/>
              </w:rPr>
              <w:t>Главный специалист-эксперт по вопросам строительства и архитектуры Администрации Тимского района Курской области.</w:t>
            </w:r>
          </w:p>
        </w:tc>
        <w:tc>
          <w:tcPr>
            <w:tcW w:w="39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2020-2026 гг.</w:t>
            </w:r>
          </w:p>
        </w:tc>
      </w:tr>
    </w:tbl>
    <w:p>
      <w:pPr>
        <w:pStyle w:val="Normal"/>
        <w:numPr>
          <w:ilvl w:val="0"/>
          <w:numId w:val="0"/>
        </w:numPr>
        <w:spacing w:lineRule="auto" w:line="240" w:before="0" w:after="0"/>
        <w:ind w:left="7740" w:hanging="0"/>
        <w:jc w:val="center"/>
        <w:outlineLvl w:val="0"/>
        <w:rPr>
          <w:rFonts w:ascii="Times New Roman" w:hAnsi="Times New Roman" w:cs="Times New Roman"/>
          <w:sz w:val="24"/>
          <w:szCs w:val="24"/>
        </w:rPr>
      </w:pPr>
      <w:r>
        <w:rPr>
          <w:rFonts w:cs="Times New Roman" w:ascii="Times New Roman" w:hAnsi="Times New Roman"/>
          <w:sz w:val="24"/>
          <w:szCs w:val="24"/>
        </w:rPr>
        <w:t>Приложение № 4</w:t>
      </w:r>
    </w:p>
    <w:p>
      <w:pPr>
        <w:pStyle w:val="Normal"/>
        <w:spacing w:lineRule="auto" w:line="240" w:before="0" w:after="0"/>
        <w:ind w:left="7740" w:hanging="0"/>
        <w:jc w:val="center"/>
        <w:rPr>
          <w:rFonts w:ascii="Times New Roman" w:hAnsi="Times New Roman" w:cs="Times New Roman"/>
          <w:sz w:val="24"/>
          <w:szCs w:val="24"/>
        </w:rPr>
      </w:pPr>
      <w:r>
        <w:rPr>
          <w:rFonts w:cs="Times New Roman" w:ascii="Times New Roman" w:hAnsi="Times New Roman"/>
          <w:sz w:val="24"/>
          <w:szCs w:val="24"/>
        </w:rPr>
        <w:t>к муниципальной программе Тимского района Курской области «Комплексное развитие сельских территорий Тимского района Курской области»</w:t>
      </w:r>
    </w:p>
    <w:p>
      <w:pPr>
        <w:pStyle w:val="ConsPlusNormal"/>
        <w:ind w:left="4500" w:hanging="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от 19.12.2019 г. №722</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Прогноз</w:t>
      </w:r>
    </w:p>
    <w:p>
      <w:pPr>
        <w:pStyle w:val="Normal"/>
        <w:tabs>
          <w:tab w:val="clear" w:pos="708"/>
          <w:tab w:val="left" w:pos="5400" w:leader="none"/>
        </w:tabs>
        <w:spacing w:lineRule="auto" w:line="240" w:before="0" w:after="0"/>
        <w:jc w:val="center"/>
        <w:rPr>
          <w:rFonts w:ascii="Times New Roman" w:hAnsi="Times New Roman" w:cs="Times New Roman"/>
          <w:b/>
          <w:b/>
          <w:color w:val="000000"/>
          <w:sz w:val="28"/>
          <w:szCs w:val="28"/>
        </w:rPr>
      </w:pPr>
      <w:r>
        <w:rPr>
          <w:rFonts w:cs="Times New Roman" w:ascii="Times New Roman" w:hAnsi="Times New Roman"/>
          <w:b/>
          <w:sz w:val="28"/>
          <w:szCs w:val="28"/>
        </w:rPr>
        <w:t>сво</w:t>
      </w:r>
      <w:r>
        <w:rPr>
          <w:rFonts w:cs="Times New Roman" w:ascii="Times New Roman" w:hAnsi="Times New Roman"/>
          <w:b/>
          <w:color w:val="000000"/>
          <w:sz w:val="28"/>
          <w:szCs w:val="28"/>
        </w:rPr>
        <w:t xml:space="preserve">дных показателей муниципальных заданий на оказание муниципальных услуг </w:t>
      </w:r>
    </w:p>
    <w:p>
      <w:pPr>
        <w:pStyle w:val="Normal"/>
        <w:spacing w:lineRule="auto" w:line="240" w:before="0" w:after="0"/>
        <w:ind w:left="34" w:hanging="0"/>
        <w:jc w:val="center"/>
        <w:rPr>
          <w:rFonts w:ascii="Times New Roman" w:hAnsi="Times New Roman" w:cs="Times New Roman"/>
          <w:b/>
          <w:b/>
          <w:color w:val="0000FF"/>
          <w:sz w:val="28"/>
          <w:szCs w:val="28"/>
        </w:rPr>
      </w:pPr>
      <w:r>
        <w:rPr>
          <w:rFonts w:cs="Times New Roman" w:ascii="Times New Roman" w:hAnsi="Times New Roman"/>
          <w:b/>
          <w:color w:val="000000"/>
          <w:sz w:val="28"/>
          <w:szCs w:val="28"/>
        </w:rPr>
        <w:t>муниципальными  учреждениями по муниципальной программе</w:t>
      </w:r>
      <w:r>
        <w:rPr>
          <w:rFonts w:cs="Times New Roman" w:ascii="Times New Roman" w:hAnsi="Times New Roman"/>
          <w:b/>
          <w:color w:val="0000FF"/>
          <w:sz w:val="28"/>
          <w:szCs w:val="28"/>
        </w:rPr>
        <w:t xml:space="preserve"> </w:t>
      </w:r>
    </w:p>
    <w:p>
      <w:pPr>
        <w:pStyle w:val="Normal"/>
        <w:spacing w:lineRule="auto" w:line="240" w:before="0" w:after="0"/>
        <w:ind w:left="34" w:hanging="0"/>
        <w:jc w:val="center"/>
        <w:rPr>
          <w:rFonts w:ascii="Times New Roman" w:hAnsi="Times New Roman" w:cs="Times New Roman"/>
          <w:b/>
          <w:b/>
          <w:color w:val="0000FF"/>
          <w:sz w:val="28"/>
          <w:szCs w:val="28"/>
        </w:rPr>
      </w:pPr>
      <w:r>
        <w:rPr>
          <w:rFonts w:cs="Times New Roman" w:ascii="Times New Roman" w:hAnsi="Times New Roman"/>
          <w:b/>
          <w:color w:val="0000FF"/>
          <w:sz w:val="28"/>
          <w:szCs w:val="28"/>
        </w:rPr>
      </w:r>
    </w:p>
    <w:tbl>
      <w:tblPr>
        <w:tblW w:w="13505" w:type="dxa"/>
        <w:jc w:val="left"/>
        <w:tblInd w:w="1123" w:type="dxa"/>
        <w:tblLayout w:type="fixed"/>
        <w:tblCellMar>
          <w:top w:w="0" w:type="dxa"/>
          <w:left w:w="70" w:type="dxa"/>
          <w:bottom w:w="0" w:type="dxa"/>
          <w:right w:w="70" w:type="dxa"/>
        </w:tblCellMar>
        <w:tblLook w:val="0000"/>
      </w:tblPr>
      <w:tblGrid>
        <w:gridCol w:w="7213"/>
        <w:gridCol w:w="987"/>
        <w:gridCol w:w="937"/>
        <w:gridCol w:w="937"/>
        <w:gridCol w:w="951"/>
        <w:gridCol w:w="949"/>
        <w:gridCol w:w="1530"/>
      </w:tblGrid>
      <w:tr>
        <w:trPr>
          <w:tblHeader w:val="true"/>
          <w:trHeight w:val="480" w:hRule="atLeast"/>
          <w:cantSplit w:val="true"/>
        </w:trPr>
        <w:tc>
          <w:tcPr>
            <w:tcW w:w="7213" w:type="dxa"/>
            <w:vMerge w:val="restart"/>
            <w:tcBorders>
              <w:top w:val="single" w:sz="6" w:space="0" w:color="000000"/>
              <w:left w:val="single" w:sz="6" w:space="0" w:color="000000"/>
              <w:bottom w:val="single" w:sz="6" w:space="0" w:color="000000"/>
            </w:tcBorders>
            <w:vAlign w:val="center"/>
          </w:tcPr>
          <w:p>
            <w:pPr>
              <w:pStyle w:val="ConsPlusCell"/>
              <w:widowControl w:val="false"/>
              <w:ind w:left="397" w:hanging="0"/>
              <w:jc w:val="center"/>
              <w:rPr>
                <w:rFonts w:ascii="Times New Roman" w:hAnsi="Times New Roman" w:cs="Times New Roman"/>
              </w:rPr>
            </w:pPr>
            <w:r>
              <w:rPr>
                <w:rFonts w:cs="Times New Roman" w:ascii="Times New Roman" w:hAnsi="Times New Roman"/>
              </w:rPr>
              <w:t>Наименование муниципальной услуги (работы),</w:t>
            </w:r>
          </w:p>
          <w:p>
            <w:pPr>
              <w:pStyle w:val="ConsPlusCell"/>
              <w:widowControl w:val="false"/>
              <w:jc w:val="center"/>
              <w:rPr>
                <w:rFonts w:ascii="Times New Roman" w:hAnsi="Times New Roman" w:cs="Times New Roman"/>
              </w:rPr>
            </w:pPr>
            <w:r>
              <w:rPr>
                <w:rFonts w:cs="Times New Roman" w:ascii="Times New Roman" w:hAnsi="Times New Roman"/>
              </w:rPr>
              <w:t>показателя объема услуги, подпрограммы,</w:t>
            </w:r>
          </w:p>
          <w:p>
            <w:pPr>
              <w:pStyle w:val="ConsPlusCell"/>
              <w:widowControl w:val="false"/>
              <w:jc w:val="center"/>
              <w:rPr>
                <w:rFonts w:ascii="Times New Roman" w:hAnsi="Times New Roman" w:cs="Times New Roman"/>
              </w:rPr>
            </w:pPr>
            <w:r>
              <w:rPr>
                <w:rFonts w:cs="Times New Roman" w:ascii="Times New Roman" w:hAnsi="Times New Roman"/>
              </w:rPr>
              <w:t>ведомственной целевой программы,</w:t>
            </w:r>
          </w:p>
          <w:p>
            <w:pPr>
              <w:pStyle w:val="ConsPlusCell"/>
              <w:widowControl w:val="false"/>
              <w:jc w:val="center"/>
              <w:rPr>
                <w:rFonts w:ascii="Times New Roman" w:hAnsi="Times New Roman" w:cs="Times New Roman"/>
              </w:rPr>
            </w:pPr>
            <w:r>
              <w:rPr>
                <w:rFonts w:cs="Times New Roman" w:ascii="Times New Roman" w:hAnsi="Times New Roman"/>
              </w:rPr>
              <w:t>основного мероприятия</w:t>
            </w:r>
          </w:p>
        </w:tc>
        <w:tc>
          <w:tcPr>
            <w:tcW w:w="2861" w:type="dxa"/>
            <w:gridSpan w:val="3"/>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 xml:space="preserve">Значение показателя объема </w:t>
              <w:br/>
              <w:t>услуги (работы)</w:t>
            </w:r>
          </w:p>
        </w:tc>
        <w:tc>
          <w:tcPr>
            <w:tcW w:w="3430" w:type="dxa"/>
            <w:gridSpan w:val="3"/>
            <w:tcBorders>
              <w:top w:val="single" w:sz="6" w:space="0" w:color="000000"/>
              <w:left w:val="single" w:sz="6" w:space="0" w:color="000000"/>
              <w:bottom w:val="single" w:sz="6" w:space="0" w:color="000000"/>
              <w:right w:val="single" w:sz="6" w:space="0" w:color="000000"/>
            </w:tcBorders>
            <w:vAlign w:val="center"/>
          </w:tcPr>
          <w:p>
            <w:pPr>
              <w:pStyle w:val="ConsPlusCell"/>
              <w:widowControl w:val="false"/>
              <w:jc w:val="center"/>
              <w:rPr>
                <w:rFonts w:ascii="Times New Roman" w:hAnsi="Times New Roman" w:cs="Times New Roman"/>
                <w:sz w:val="28"/>
                <w:szCs w:val="28"/>
              </w:rPr>
            </w:pPr>
            <w:r>
              <w:rPr>
                <w:rFonts w:cs="Times New Roman" w:ascii="Times New Roman" w:hAnsi="Times New Roman"/>
              </w:rPr>
              <w:t xml:space="preserve">Расходы  бюджета муниципального района «Тимский район» Курской области на оказание муниципальной </w:t>
              <w:br/>
              <w:t>услуги (выполнение работы), тыс. руб.</w:t>
            </w:r>
          </w:p>
        </w:tc>
      </w:tr>
      <w:tr>
        <w:trPr>
          <w:tblHeader w:val="true"/>
          <w:trHeight w:val="480" w:hRule="atLeast"/>
          <w:cantSplit w:val="true"/>
        </w:trPr>
        <w:tc>
          <w:tcPr>
            <w:tcW w:w="7213" w:type="dxa"/>
            <w:vMerge w:val="continue"/>
            <w:tcBorders>
              <w:top w:val="single" w:sz="6" w:space="0" w:color="000000"/>
              <w:left w:val="single" w:sz="6" w:space="0" w:color="000000"/>
              <w:bottom w:val="single" w:sz="6" w:space="0" w:color="000000"/>
            </w:tcBorders>
            <w:vAlign w:val="center"/>
          </w:tcPr>
          <w:p>
            <w:pPr>
              <w:pStyle w:val="Normal"/>
              <w:widowControl w:val="false"/>
              <w:snapToGrid w:val="false"/>
              <w:spacing w:before="0" w:after="200"/>
              <w:jc w:val="center"/>
              <w:rPr>
                <w:rFonts w:ascii="Times New Roman" w:hAnsi="Times New Roman" w:cs="Times New Roman"/>
                <w:sz w:val="28"/>
                <w:szCs w:val="28"/>
              </w:rPr>
            </w:pPr>
            <w:r>
              <w:rPr>
                <w:rFonts w:cs="Times New Roman" w:ascii="Times New Roman" w:hAnsi="Times New Roman"/>
                <w:sz w:val="28"/>
                <w:szCs w:val="28"/>
              </w:rPr>
            </w:r>
          </w:p>
        </w:tc>
        <w:tc>
          <w:tcPr>
            <w:tcW w:w="987"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2020 г.</w:t>
            </w:r>
          </w:p>
        </w:tc>
        <w:tc>
          <w:tcPr>
            <w:tcW w:w="937"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2021 г.</w:t>
            </w:r>
          </w:p>
        </w:tc>
        <w:tc>
          <w:tcPr>
            <w:tcW w:w="937"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2022 г.</w:t>
            </w:r>
          </w:p>
        </w:tc>
        <w:tc>
          <w:tcPr>
            <w:tcW w:w="951"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2020 г.</w:t>
            </w:r>
          </w:p>
        </w:tc>
        <w:tc>
          <w:tcPr>
            <w:tcW w:w="949"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2021 г.</w:t>
            </w:r>
          </w:p>
        </w:tc>
        <w:tc>
          <w:tcPr>
            <w:tcW w:w="1530" w:type="dxa"/>
            <w:tcBorders>
              <w:top w:val="single" w:sz="6" w:space="0" w:color="000000"/>
              <w:left w:val="single" w:sz="6" w:space="0" w:color="000000"/>
              <w:bottom w:val="single" w:sz="6" w:space="0" w:color="000000"/>
              <w:right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2022 г.</w:t>
            </w:r>
          </w:p>
        </w:tc>
      </w:tr>
      <w:tr>
        <w:trPr>
          <w:trHeight w:val="480" w:hRule="atLeast"/>
          <w:cantSplit w:val="true"/>
        </w:trPr>
        <w:tc>
          <w:tcPr>
            <w:tcW w:w="13504" w:type="dxa"/>
            <w:gridSpan w:val="7"/>
            <w:tcBorders>
              <w:top w:val="single" w:sz="6" w:space="0" w:color="000000"/>
              <w:left w:val="single" w:sz="6" w:space="0" w:color="000000"/>
              <w:bottom w:val="single" w:sz="6" w:space="0" w:color="000000"/>
              <w:right w:val="single" w:sz="6" w:space="0" w:color="000000"/>
            </w:tcBorders>
            <w:vAlign w:val="center"/>
          </w:tcPr>
          <w:p>
            <w:pPr>
              <w:pStyle w:val="Normal"/>
              <w:widowControl w:val="false"/>
              <w:snapToGrid w:val="false"/>
              <w:spacing w:before="0" w:after="200"/>
              <w:ind w:left="34" w:hanging="0"/>
              <w:jc w:val="center"/>
              <w:rPr>
                <w:b/>
                <w:b/>
                <w:color w:val="000000"/>
                <w:sz w:val="20"/>
                <w:szCs w:val="20"/>
              </w:rPr>
            </w:pPr>
            <w:r>
              <w:rPr>
                <w:b/>
                <w:color w:val="000000"/>
                <w:sz w:val="20"/>
                <w:szCs w:val="20"/>
              </w:rPr>
            </w:r>
          </w:p>
        </w:tc>
      </w:tr>
      <w:tr>
        <w:trPr>
          <w:trHeight w:val="480" w:hRule="atLeast"/>
          <w:cantSplit w:val="true"/>
        </w:trPr>
        <w:tc>
          <w:tcPr>
            <w:tcW w:w="7213"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Наименование муниципальной услуги:</w:t>
            </w:r>
          </w:p>
        </w:tc>
        <w:tc>
          <w:tcPr>
            <w:tcW w:w="6291" w:type="dxa"/>
            <w:gridSpan w:val="6"/>
            <w:tcBorders>
              <w:top w:val="single" w:sz="6" w:space="0" w:color="000000"/>
              <w:left w:val="single" w:sz="6" w:space="0" w:color="000000"/>
              <w:bottom w:val="single" w:sz="6" w:space="0" w:color="000000"/>
              <w:right w:val="single" w:sz="6" w:space="0" w:color="000000"/>
            </w:tcBorders>
            <w:vAlign w:val="center"/>
          </w:tcPr>
          <w:p>
            <w:pPr>
              <w:pStyle w:val="ConsPlusCell"/>
              <w:widowControl w:val="false"/>
              <w:jc w:val="center"/>
              <w:rPr>
                <w:rFonts w:ascii="Times New Roman" w:hAnsi="Times New Roman" w:cs="Times New Roman"/>
                <w:sz w:val="28"/>
                <w:szCs w:val="28"/>
              </w:rPr>
            </w:pPr>
            <w:r>
              <w:rPr>
                <w:rFonts w:cs="Times New Roman" w:ascii="Times New Roman" w:hAnsi="Times New Roman"/>
              </w:rPr>
              <w:t>-</w:t>
            </w:r>
          </w:p>
        </w:tc>
      </w:tr>
      <w:tr>
        <w:trPr>
          <w:trHeight w:val="276" w:hRule="atLeast"/>
          <w:cantSplit w:val="true"/>
        </w:trPr>
        <w:tc>
          <w:tcPr>
            <w:tcW w:w="13504" w:type="dxa"/>
            <w:gridSpan w:val="7"/>
            <w:tcBorders>
              <w:top w:val="single" w:sz="6" w:space="0" w:color="000000"/>
              <w:left w:val="single" w:sz="6" w:space="0" w:color="000000"/>
              <w:bottom w:val="single" w:sz="6" w:space="0" w:color="000000"/>
              <w:right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r>
        <w:trPr>
          <w:trHeight w:val="480" w:hRule="atLeast"/>
          <w:cantSplit w:val="true"/>
        </w:trPr>
        <w:tc>
          <w:tcPr>
            <w:tcW w:w="7213" w:type="dxa"/>
            <w:tcBorders>
              <w:top w:val="single" w:sz="6" w:space="0" w:color="000000"/>
              <w:left w:val="single" w:sz="6" w:space="0" w:color="000000"/>
              <w:bottom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987" w:type="dxa"/>
            <w:tcBorders>
              <w:top w:val="single" w:sz="6" w:space="0" w:color="000000"/>
              <w:left w:val="single" w:sz="6" w:space="0" w:color="000000"/>
              <w:bottom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937" w:type="dxa"/>
            <w:tcBorders>
              <w:top w:val="single" w:sz="6" w:space="0" w:color="000000"/>
              <w:left w:val="single" w:sz="6" w:space="0" w:color="000000"/>
              <w:bottom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937" w:type="dxa"/>
            <w:tcBorders>
              <w:top w:val="single" w:sz="6" w:space="0" w:color="000000"/>
              <w:left w:val="single" w:sz="6" w:space="0" w:color="000000"/>
              <w:bottom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951" w:type="dxa"/>
            <w:tcBorders>
              <w:top w:val="single" w:sz="6" w:space="0" w:color="000000"/>
              <w:left w:val="single" w:sz="6" w:space="0" w:color="000000"/>
              <w:bottom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949" w:type="dxa"/>
            <w:tcBorders>
              <w:top w:val="single" w:sz="6" w:space="0" w:color="000000"/>
              <w:left w:val="single" w:sz="6" w:space="0" w:color="000000"/>
              <w:bottom w:val="single" w:sz="6" w:space="0" w:color="000000"/>
            </w:tcBorders>
            <w:vAlign w:val="center"/>
          </w:tcPr>
          <w:p>
            <w:pPr>
              <w:pStyle w:val="Normal"/>
              <w:widowControl w:val="false"/>
              <w:snapToGrid w:val="false"/>
              <w:spacing w:before="0" w:after="200"/>
              <w:jc w:val="center"/>
              <w:rPr>
                <w:color w:val="000000"/>
                <w:sz w:val="20"/>
                <w:szCs w:val="20"/>
              </w:rPr>
            </w:pPr>
            <w:r>
              <w:rPr>
                <w:color w:val="000000"/>
                <w:sz w:val="20"/>
                <w:szCs w:val="20"/>
              </w:rPr>
            </w:r>
          </w:p>
        </w:tc>
        <w:tc>
          <w:tcPr>
            <w:tcW w:w="1530" w:type="dxa"/>
            <w:tcBorders>
              <w:top w:val="single" w:sz="6" w:space="0" w:color="000000"/>
              <w:left w:val="single" w:sz="6" w:space="0" w:color="000000"/>
              <w:bottom w:val="single" w:sz="6" w:space="0" w:color="000000"/>
              <w:right w:val="single" w:sz="6" w:space="0" w:color="000000"/>
            </w:tcBorders>
          </w:tcPr>
          <w:p>
            <w:pPr>
              <w:pStyle w:val="Normal"/>
              <w:widowControl w:val="false"/>
              <w:snapToGrid w:val="false"/>
              <w:spacing w:before="0" w:after="200"/>
              <w:rPr>
                <w:color w:val="000000"/>
                <w:sz w:val="20"/>
                <w:szCs w:val="20"/>
              </w:rPr>
            </w:pPr>
            <w:r>
              <w:rPr>
                <w:color w:val="000000"/>
                <w:sz w:val="20"/>
                <w:szCs w:val="20"/>
              </w:rPr>
            </w:r>
          </w:p>
        </w:tc>
      </w:tr>
      <w:tr>
        <w:trPr>
          <w:trHeight w:val="331" w:hRule="atLeast"/>
          <w:cantSplit w:val="true"/>
        </w:trPr>
        <w:tc>
          <w:tcPr>
            <w:tcW w:w="13504" w:type="dxa"/>
            <w:gridSpan w:val="7"/>
            <w:tcBorders>
              <w:top w:val="single" w:sz="6" w:space="0" w:color="000000"/>
              <w:left w:val="single" w:sz="6" w:space="0" w:color="000000"/>
              <w:bottom w:val="single" w:sz="6" w:space="0" w:color="000000"/>
              <w:right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bl>
    <w:p>
      <w:pPr>
        <w:pStyle w:val="Normal"/>
        <w:spacing w:lineRule="auto" w:line="240" w:before="0" w:after="0"/>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1485" w:hanging="0"/>
        <w:rPr>
          <w:rFonts w:ascii="Times New Roman" w:hAnsi="Times New Roman" w:cs="Times New Roman"/>
          <w:b/>
          <w:b/>
          <w:bCs/>
          <w:color w:val="000000"/>
          <w:sz w:val="20"/>
          <w:szCs w:val="20"/>
          <w:vertAlign w:val="superscript"/>
        </w:rPr>
      </w:pPr>
      <w:r>
        <w:rPr>
          <w:rFonts w:cs="Times New Roman" w:ascii="Times New Roman" w:hAnsi="Times New Roman"/>
          <w:sz w:val="20"/>
          <w:szCs w:val="20"/>
        </w:rPr>
        <w:t>*В рамках реализации муниципальной программы не предусматривается оказание муниципальных услуг</w:t>
      </w:r>
      <w:r>
        <w:br w:type="page"/>
      </w:r>
    </w:p>
    <w:p>
      <w:pPr>
        <w:pStyle w:val="Normal"/>
        <w:widowControl/>
        <w:numPr>
          <w:ilvl w:val="0"/>
          <w:numId w:val="0"/>
        </w:numPr>
        <w:bidi w:val="0"/>
        <w:spacing w:lineRule="auto" w:line="240" w:before="0" w:after="0"/>
        <w:ind w:left="7597" w:right="0" w:hanging="0"/>
        <w:jc w:val="center"/>
        <w:outlineLvl w:val="0"/>
        <w:rPr/>
      </w:pPr>
      <w:r>
        <w:rPr>
          <w:rFonts w:cs="Times New Roman" w:ascii="Times New Roman" w:hAnsi="Times New Roman"/>
          <w:sz w:val="24"/>
          <w:szCs w:val="24"/>
        </w:rPr>
        <w:t>Приложение № 5</w:t>
      </w:r>
    </w:p>
    <w:p>
      <w:pPr>
        <w:pStyle w:val="Normal"/>
        <w:widowControl/>
        <w:numPr>
          <w:ilvl w:val="0"/>
          <w:numId w:val="0"/>
        </w:numPr>
        <w:bidi w:val="0"/>
        <w:spacing w:lineRule="auto" w:line="240" w:before="0" w:after="0"/>
        <w:ind w:left="7597" w:right="0" w:hanging="0"/>
        <w:jc w:val="center"/>
        <w:rPr/>
      </w:pPr>
      <w:r>
        <w:rPr>
          <w:rFonts w:cs="Times New Roman" w:ascii="Times New Roman" w:hAnsi="Times New Roman"/>
          <w:sz w:val="24"/>
          <w:szCs w:val="24"/>
        </w:rPr>
        <w:t xml:space="preserve">к муниципальной программе Тимского района Курской области «Комплексное развитие сельских территорий Тимского района Курской области» от 19.12.2019 г. №722 </w:t>
      </w:r>
    </w:p>
    <w:p>
      <w:pPr>
        <w:pStyle w:val="NormalWeb"/>
        <w:widowControl/>
        <w:numPr>
          <w:ilvl w:val="0"/>
          <w:numId w:val="0"/>
        </w:numPr>
        <w:bidi w:val="0"/>
        <w:spacing w:lineRule="auto" w:line="240" w:before="0" w:after="0"/>
        <w:ind w:left="7597" w:right="0" w:hanging="0"/>
        <w:jc w:val="center"/>
        <w:rPr/>
      </w:pPr>
      <w:r>
        <w:rPr>
          <w:rStyle w:val="3"/>
          <w:bCs/>
          <w:color w:val="000000"/>
          <w:sz w:val="24"/>
          <w:szCs w:val="24"/>
        </w:rPr>
        <w:t xml:space="preserve">(в ред. постановления Администрации Тимского района Курской области от 13.03.2020 г. №191, </w:t>
      </w:r>
      <w:r>
        <w:rPr>
          <w:rStyle w:val="3"/>
          <w:sz w:val="24"/>
          <w:szCs w:val="24"/>
        </w:rPr>
        <w:t xml:space="preserve">от 08.06.2020 г., №364, от 19.11.2020 г. №940, от 22.01.2021 г., №46, от 17.02.2021 г. №88, от 21.04.2021 г. №349, от 20.10.2021 г. №1160, от 28.01.2022 г. №113, от 31.03.2022 г. №319, от 05.08.2022 г. №745, от 28.12.2022 г. №1060,  от 27.06.2023 г. №355, от 15.12.2023 г. №715, </w:t>
      </w:r>
      <w:r>
        <w:rPr>
          <w:rStyle w:val="3"/>
          <w:sz w:val="24"/>
          <w:szCs w:val="24"/>
        </w:rPr>
        <w:t>от 26.03.2014 г. №146-па</w:t>
      </w:r>
      <w:r>
        <w:rPr>
          <w:rStyle w:val="3"/>
          <w:sz w:val="24"/>
          <w:szCs w:val="24"/>
        </w:rPr>
        <w:t>)</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sz w:val="24"/>
          <w:szCs w:val="24"/>
        </w:rPr>
      </w:pPr>
      <w:r>
        <w:rPr>
          <w:rFonts w:cs="Times New Roman" w:ascii="Times New Roman" w:hAnsi="Times New Roman"/>
          <w:b/>
          <w:bCs/>
          <w:sz w:val="24"/>
          <w:szCs w:val="24"/>
        </w:rPr>
        <w:t>РЕСУРСНОЕ ОБЕСПЕЧЕНИЕ</w:t>
      </w:r>
    </w:p>
    <w:p>
      <w:pPr>
        <w:pStyle w:val="Normal"/>
        <w:spacing w:lineRule="auto" w:line="240" w:before="0" w:after="0"/>
        <w:jc w:val="center"/>
        <w:rPr>
          <w:sz w:val="24"/>
          <w:szCs w:val="24"/>
        </w:rPr>
      </w:pPr>
      <w:r>
        <w:rPr>
          <w:rFonts w:cs="Times New Roman" w:ascii="Times New Roman" w:hAnsi="Times New Roman"/>
          <w:b/>
          <w:bCs/>
          <w:sz w:val="24"/>
          <w:szCs w:val="24"/>
        </w:rPr>
        <w:t>РЕАЛИЗАЦИИ МУНИЦИПАЛЬНОЙ ПРОГРАММЫ ТИМСКОГО РАЙОНА КУРСКОЙ ОБЛАСТИ</w:t>
      </w:r>
    </w:p>
    <w:p>
      <w:pPr>
        <w:pStyle w:val="Normal"/>
        <w:spacing w:lineRule="auto" w:line="240" w:before="0" w:after="0"/>
        <w:jc w:val="center"/>
        <w:rPr>
          <w:sz w:val="24"/>
          <w:szCs w:val="24"/>
        </w:rPr>
      </w:pPr>
      <w:r>
        <w:rPr>
          <w:rFonts w:cs="Times New Roman" w:ascii="Times New Roman" w:hAnsi="Times New Roman"/>
          <w:b/>
          <w:bCs/>
          <w:sz w:val="24"/>
          <w:szCs w:val="24"/>
        </w:rPr>
        <w:t xml:space="preserve">«КОМПЛЕКСНОЕ РАЗВИТИЕ СЕЛЬСКИХ ТЕРРИТОРИЙ ТИМСКОГО РАЙОНА КУРСКОЙ ОБЛАСТИ» </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r>
    </w:p>
    <w:tbl>
      <w:tblPr>
        <w:tblW w:w="15450" w:type="dxa"/>
        <w:jc w:val="left"/>
        <w:tblInd w:w="-58" w:type="dxa"/>
        <w:tblLayout w:type="fixed"/>
        <w:tblCellMar>
          <w:top w:w="102" w:type="dxa"/>
          <w:left w:w="57" w:type="dxa"/>
          <w:bottom w:w="102" w:type="dxa"/>
          <w:right w:w="62" w:type="dxa"/>
        </w:tblCellMar>
        <w:tblLook w:val="0000"/>
      </w:tblPr>
      <w:tblGrid>
        <w:gridCol w:w="1549"/>
        <w:gridCol w:w="2511"/>
        <w:gridCol w:w="2036"/>
        <w:gridCol w:w="634"/>
        <w:gridCol w:w="565"/>
        <w:gridCol w:w="1256"/>
        <w:gridCol w:w="644"/>
        <w:gridCol w:w="1065"/>
        <w:gridCol w:w="911"/>
        <w:gridCol w:w="901"/>
        <w:gridCol w:w="913"/>
        <w:gridCol w:w="1020"/>
        <w:gridCol w:w="735"/>
        <w:gridCol w:w="709"/>
      </w:tblGrid>
      <w:tr>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Статус</w:t>
            </w:r>
          </w:p>
        </w:tc>
        <w:tc>
          <w:tcPr>
            <w:tcW w:w="251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Наименование муниципальной программы, подпрограммы муниципальной программы, основного мероприятия</w:t>
            </w:r>
          </w:p>
        </w:tc>
        <w:tc>
          <w:tcPr>
            <w:tcW w:w="203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Ответственный исполнитель, соисполнители, участники</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(ГРБС)</w:t>
            </w:r>
          </w:p>
        </w:tc>
        <w:tc>
          <w:tcPr>
            <w:tcW w:w="3099"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Код бюджетной классификации</w:t>
            </w:r>
          </w:p>
        </w:tc>
        <w:tc>
          <w:tcPr>
            <w:tcW w:w="6254"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Объемы бюджетных ассигнований (тыс. рублей), годы</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ГРБС</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ГП</w:t>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ЦСР</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ВР</w:t>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2020</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2021</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2022</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2023</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2024</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2025</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2026</w:t>
            </w:r>
          </w:p>
        </w:tc>
      </w:tr>
      <w:tr>
        <w:trPr/>
        <w:tc>
          <w:tcPr>
            <w:tcW w:w="15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w:t>
            </w:r>
          </w:p>
        </w:tc>
        <w:tc>
          <w:tcPr>
            <w:tcW w:w="25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w:t>
            </w:r>
          </w:p>
        </w:tc>
        <w:tc>
          <w:tcPr>
            <w:tcW w:w="20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3</w:t>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5</w:t>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6</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7</w:t>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8</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9</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11</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12</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13</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14</w:t>
            </w:r>
          </w:p>
        </w:tc>
      </w:tr>
      <w:tr>
        <w:trPr>
          <w:trHeight w:val="271" w:hRule="atLeast"/>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1"/>
              <w:rPr>
                <w:rFonts w:ascii="Times New Roman" w:hAnsi="Times New Roman" w:cs="Times New Roman"/>
              </w:rPr>
            </w:pPr>
            <w:r>
              <w:rPr>
                <w:rFonts w:cs="Times New Roman" w:ascii="Times New Roman" w:hAnsi="Times New Roman"/>
              </w:rPr>
              <w:t>Муниципальная программа</w:t>
            </w:r>
          </w:p>
        </w:tc>
        <w:tc>
          <w:tcPr>
            <w:tcW w:w="251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Комплексное развитие сельских территорий  Тимского района Курской области</w:t>
            </w:r>
          </w:p>
        </w:tc>
        <w:tc>
          <w:tcPr>
            <w:tcW w:w="20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17153,69039</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20"/>
                <w:szCs w:val="20"/>
              </w:rPr>
            </w:pPr>
            <w:r>
              <w:rPr>
                <w:rFonts w:cs="Times New Roman" w:ascii="Times New Roman" w:hAnsi="Times New Roman"/>
                <w:sz w:val="20"/>
                <w:szCs w:val="20"/>
              </w:rPr>
              <w:t>2945,244</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1777,100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hanging="0"/>
              <w:jc w:val="both"/>
              <w:rPr>
                <w:rFonts w:ascii="Times New Roman" w:hAnsi="Times New Roman" w:cs="Times New Roman"/>
                <w:sz w:val="24"/>
                <w:szCs w:val="24"/>
              </w:rPr>
            </w:pPr>
            <w:r>
              <w:rPr>
                <w:rStyle w:val="81"/>
                <w:rFonts w:cs="Times New Roman" w:ascii="Times New Roman" w:hAnsi="Times New Roman"/>
                <w:color w:val="000000"/>
                <w:sz w:val="22"/>
                <w:szCs w:val="22"/>
                <w:lang w:eastAsia="en-US"/>
              </w:rPr>
              <w:t>Главный специалист-эксперт по вопросам строительства и архитектуры Администрации Тимского района Курской области</w:t>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18"/>
                <w:szCs w:val="18"/>
              </w:rPr>
              <w:t>17153,69039</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827,000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8"/>
                <w:szCs w:val="18"/>
              </w:rPr>
            </w:pPr>
            <w:r>
              <w:rPr>
                <w:rFonts w:cs="Times New Roman" w:ascii="Times New Roman" w:hAnsi="Times New Roman"/>
                <w:sz w:val="20"/>
                <w:szCs w:val="20"/>
              </w:rPr>
              <w:t>2945,244</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1777,100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175" w:hRule="atLeast"/>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0"/>
              <w:rPr>
                <w:rFonts w:ascii="Times New Roman" w:hAnsi="Times New Roman" w:cs="Times New Roman"/>
              </w:rPr>
            </w:pPr>
            <w:r>
              <w:rPr>
                <w:rFonts w:cs="Times New Roman" w:ascii="Times New Roman" w:hAnsi="Times New Roman"/>
              </w:rPr>
              <w:t>Подпрограмма 1</w:t>
            </w:r>
          </w:p>
        </w:tc>
        <w:tc>
          <w:tcPr>
            <w:tcW w:w="2511"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«Создание и развитие инфраструктуры на сельских территориях».</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18"/>
                <w:szCs w:val="18"/>
              </w:rPr>
              <w:t>17153,69039</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8"/>
                <w:szCs w:val="18"/>
              </w:rPr>
            </w:pPr>
            <w:r>
              <w:rPr>
                <w:rFonts w:cs="Times New Roman" w:ascii="Times New Roman" w:hAnsi="Times New Roman"/>
                <w:sz w:val="20"/>
                <w:szCs w:val="20"/>
              </w:rPr>
              <w:t>2945,244</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1777,100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hanging="0"/>
              <w:jc w:val="both"/>
              <w:rPr>
                <w:rFonts w:ascii="Times New Roman" w:hAnsi="Times New Roman" w:cs="Times New Roman"/>
                <w:sz w:val="21"/>
                <w:szCs w:val="21"/>
              </w:rPr>
            </w:pPr>
            <w:r>
              <w:rPr>
                <w:rStyle w:val="81"/>
                <w:rFonts w:cs="Times New Roman" w:ascii="Times New Roman" w:hAnsi="Times New Roman"/>
                <w:color w:val="000000"/>
                <w:sz w:val="22"/>
                <w:szCs w:val="22"/>
                <w:lang w:eastAsia="en-US"/>
              </w:rPr>
              <w:t>Главный специалист-эксперт по вопросам строительства и архитектуры Администрации Тимского района Курской области</w:t>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18"/>
                <w:szCs w:val="18"/>
              </w:rPr>
              <w:t>17153,69039</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8"/>
                <w:szCs w:val="18"/>
              </w:rPr>
            </w:pPr>
            <w:r>
              <w:rPr>
                <w:rFonts w:cs="Times New Roman" w:ascii="Times New Roman" w:hAnsi="Times New Roman"/>
                <w:sz w:val="20"/>
                <w:szCs w:val="20"/>
              </w:rPr>
              <w:t>2945,244</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1777,100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724" w:hRule="atLeast"/>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t>Основное мероприятие 1.1</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Современный облик сельских территорий</w:t>
            </w:r>
          </w:p>
        </w:tc>
        <w:tc>
          <w:tcPr>
            <w:tcW w:w="20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hanging="0"/>
              <w:jc w:val="both"/>
              <w:rPr>
                <w:rFonts w:ascii="Times New Roman" w:hAnsi="Times New Roman" w:cs="Times New Roman"/>
                <w:sz w:val="21"/>
                <w:szCs w:val="21"/>
              </w:rPr>
            </w:pPr>
            <w:r>
              <w:rPr>
                <w:rStyle w:val="81"/>
                <w:rFonts w:cs="Times New Roman" w:ascii="Times New Roman" w:hAnsi="Times New Roman"/>
                <w:color w:val="000000"/>
                <w:sz w:val="22"/>
                <w:szCs w:val="22"/>
                <w:lang w:eastAsia="en-US"/>
              </w:rPr>
              <w:t>Главный специалист-эксперт по вопросам строительства и архитектуры Администрации Тимского района Курской области</w:t>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t>Основное мероприятие 1.2</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Развитие транспортной инфраструктуры</w:t>
            </w:r>
          </w:p>
        </w:tc>
        <w:tc>
          <w:tcPr>
            <w:tcW w:w="20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hanging="0"/>
              <w:jc w:val="both"/>
              <w:rPr>
                <w:rFonts w:ascii="Times New Roman" w:hAnsi="Times New Roman" w:cs="Times New Roman"/>
                <w:sz w:val="21"/>
                <w:szCs w:val="21"/>
              </w:rPr>
            </w:pPr>
            <w:r>
              <w:rPr>
                <w:rStyle w:val="81"/>
                <w:rFonts w:cs="Times New Roman" w:ascii="Times New Roman" w:hAnsi="Times New Roman"/>
                <w:color w:val="000000"/>
                <w:sz w:val="22"/>
                <w:szCs w:val="22"/>
                <w:lang w:eastAsia="en-US"/>
              </w:rPr>
              <w:t>Главный специалист-эксперт по вопросам строительства и архитектуры Администрации Тимского района Курской области</w:t>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204" w:hRule="atLeast"/>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74" w:hRule="atLeast"/>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t>Основное мероприятие 1.3</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Style w:val="Style17"/>
                <w:rFonts w:ascii="Times New Roman" w:hAnsi="Times New Roman"/>
                <w:color w:val="000000"/>
                <w:lang w:eastAsia="en-US"/>
              </w:rPr>
              <w:t>Газоснабжение сельских поселений Муниципального района</w:t>
            </w:r>
          </w:p>
        </w:tc>
        <w:tc>
          <w:tcPr>
            <w:tcW w:w="20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748,951</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hanging="0"/>
              <w:jc w:val="both"/>
              <w:rPr>
                <w:rFonts w:ascii="Times New Roman" w:hAnsi="Times New Roman" w:cs="Times New Roman"/>
                <w:sz w:val="21"/>
                <w:szCs w:val="21"/>
              </w:rPr>
            </w:pPr>
            <w:r>
              <w:rPr>
                <w:rStyle w:val="81"/>
                <w:rFonts w:cs="Times New Roman" w:ascii="Times New Roman" w:hAnsi="Times New Roman"/>
                <w:color w:val="000000"/>
                <w:sz w:val="22"/>
                <w:szCs w:val="22"/>
                <w:lang w:eastAsia="en-US"/>
              </w:rPr>
              <w:t>Главный специалист-эксперт по вопросам строительства и архитектуры Администрации Тимского района Курской области</w:t>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19103</w:t>
            </w:r>
            <w:r>
              <w:rPr>
                <w:rFonts w:cs="Times New Roman" w:ascii="Times New Roman" w:hAnsi="Times New Roman"/>
                <w:lang w:val="en-US"/>
              </w:rPr>
              <w:t>S</w:t>
            </w:r>
            <w:r>
              <w:rPr>
                <w:rFonts w:cs="Times New Roman" w:ascii="Times New Roman" w:hAnsi="Times New Roman"/>
              </w:rPr>
              <w:t>5761</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178,152</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43" w:hRule="atLeast"/>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19103</w:t>
            </w:r>
            <w:r>
              <w:rPr>
                <w:rFonts w:cs="Times New Roman" w:ascii="Times New Roman" w:hAnsi="Times New Roman"/>
                <w:lang w:val="en-US"/>
              </w:rPr>
              <w:t>R</w:t>
            </w:r>
            <w:r>
              <w:rPr>
                <w:rFonts w:cs="Times New Roman" w:ascii="Times New Roman" w:hAnsi="Times New Roman"/>
              </w:rPr>
              <w:t>5761</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553,572</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19103С1417</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17,427</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t>Основное мероприятие 1.4</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Style w:val="Style17"/>
                <w:rFonts w:ascii="Times New Roman" w:hAnsi="Times New Roman"/>
                <w:color w:val="000000"/>
                <w:lang w:eastAsia="en-US"/>
              </w:rPr>
              <w:t>Водоснабжение сельских поселений Муниципального района</w:t>
            </w:r>
          </w:p>
        </w:tc>
        <w:tc>
          <w:tcPr>
            <w:tcW w:w="20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color w:val="000000"/>
                <w:sz w:val="18"/>
                <w:szCs w:val="18"/>
              </w:rPr>
              <w:t>16404,73939</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8"/>
                <w:szCs w:val="18"/>
              </w:rPr>
            </w:pPr>
            <w:r>
              <w:rPr>
                <w:rFonts w:cs="Times New Roman" w:ascii="Times New Roman" w:hAnsi="Times New Roman"/>
                <w:sz w:val="20"/>
                <w:szCs w:val="20"/>
              </w:rPr>
              <w:t>2945,244</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1777,100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hanging="0"/>
              <w:jc w:val="both"/>
              <w:rPr>
                <w:rFonts w:ascii="Times New Roman" w:hAnsi="Times New Roman" w:cs="Times New Roman"/>
                <w:sz w:val="21"/>
                <w:szCs w:val="21"/>
              </w:rPr>
            </w:pPr>
            <w:r>
              <w:rPr>
                <w:rStyle w:val="81"/>
                <w:rFonts w:cs="Times New Roman" w:ascii="Times New Roman" w:hAnsi="Times New Roman"/>
                <w:color w:val="000000"/>
                <w:sz w:val="22"/>
                <w:szCs w:val="22"/>
                <w:lang w:eastAsia="en-US"/>
              </w:rPr>
              <w:t>Главный специалист-эксперт по вопросам строительства и архитектуры Администрации Тимского района Курской области</w:t>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19104</w:t>
            </w:r>
            <w:r>
              <w:rPr>
                <w:rFonts w:cs="Times New Roman" w:ascii="Times New Roman" w:hAnsi="Times New Roman"/>
                <w:lang w:val="en-US"/>
              </w:rPr>
              <w:t>S</w:t>
            </w:r>
            <w:r>
              <w:rPr>
                <w:rFonts w:cs="Times New Roman" w:ascii="Times New Roman" w:hAnsi="Times New Roman"/>
              </w:rPr>
              <w:t>5761</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color w:val="000000"/>
                <w:sz w:val="20"/>
                <w:szCs w:val="20"/>
              </w:rPr>
              <w:t>1126,17139</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0,000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323" w:hRule="atLeast"/>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19104</w:t>
            </w:r>
            <w:r>
              <w:rPr>
                <w:rFonts w:cs="Times New Roman" w:ascii="Times New Roman" w:hAnsi="Times New Roman"/>
                <w:lang w:val="en-US"/>
              </w:rPr>
              <w:t>R</w:t>
            </w:r>
            <w:r>
              <w:rPr>
                <w:rFonts w:cs="Times New Roman" w:ascii="Times New Roman" w:hAnsi="Times New Roman"/>
              </w:rPr>
              <w:t>5761</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14818,062</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19104С1417</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460,506</w:t>
            </w:r>
          </w:p>
        </w:tc>
        <w:tc>
          <w:tcPr>
            <w:tcW w:w="9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217,000</w:t>
            </w:r>
          </w:p>
        </w:tc>
        <w:tc>
          <w:tcPr>
            <w:tcW w:w="9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8"/>
                <w:szCs w:val="18"/>
              </w:rPr>
            </w:pPr>
            <w:r>
              <w:rPr>
                <w:rFonts w:cs="Times New Roman" w:ascii="Times New Roman" w:hAnsi="Times New Roman"/>
                <w:sz w:val="20"/>
                <w:szCs w:val="20"/>
              </w:rPr>
              <w:t>2945,244</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1777,100</w:t>
            </w:r>
          </w:p>
        </w:tc>
        <w:tc>
          <w:tcPr>
            <w:tcW w:w="73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bl>
    <w:p>
      <w:pPr>
        <w:pStyle w:val="Normal"/>
        <w:numPr>
          <w:ilvl w:val="0"/>
          <w:numId w:val="0"/>
        </w:numPr>
        <w:spacing w:lineRule="auto" w:line="240" w:before="0" w:after="0"/>
        <w:ind w:left="7560" w:hanging="0"/>
        <w:jc w:val="center"/>
        <w:outlineLvl w:val="0"/>
        <w:rPr>
          <w:rFonts w:ascii="Times New Roman" w:hAnsi="Times New Roman"/>
          <w:sz w:val="20"/>
          <w:szCs w:val="20"/>
        </w:rPr>
      </w:pPr>
      <w:r>
        <w:br w:type="page"/>
      </w:r>
      <w:r>
        <w:rPr>
          <w:rFonts w:cs="Times New Roman" w:ascii="Times New Roman" w:hAnsi="Times New Roman"/>
          <w:sz w:val="20"/>
          <w:szCs w:val="20"/>
        </w:rPr>
        <w:t>Приложение № 6</w:t>
      </w:r>
    </w:p>
    <w:p>
      <w:pPr>
        <w:pStyle w:val="ConsPlusNormal"/>
        <w:ind w:left="7560" w:hanging="0"/>
        <w:jc w:val="center"/>
        <w:rPr/>
      </w:pPr>
      <w:r>
        <w:rPr>
          <w:rFonts w:cs="Times New Roman" w:ascii="Times New Roman" w:hAnsi="Times New Roman"/>
          <w:sz w:val="20"/>
          <w:szCs w:val="20"/>
        </w:rPr>
        <w:t xml:space="preserve">к муниципальной программе Тимского района Курской области «Комплексное развитие сельских территорий Тимского района Курской области»  19.12.2019 г. №722 </w:t>
      </w:r>
      <w:r>
        <w:rPr>
          <w:rStyle w:val="3"/>
          <w:rFonts w:ascii="Times New Roman" w:hAnsi="Times New Roman"/>
          <w:bCs/>
          <w:color w:val="000000"/>
          <w:sz w:val="20"/>
          <w:szCs w:val="20"/>
        </w:rPr>
        <w:t xml:space="preserve">(в ред. постановления Администрации Тимского района Курской области </w:t>
      </w:r>
      <w:r>
        <w:rPr>
          <w:rStyle w:val="3"/>
          <w:rFonts w:ascii="Times New Roman" w:hAnsi="Times New Roman"/>
          <w:sz w:val="20"/>
          <w:szCs w:val="20"/>
        </w:rPr>
        <w:t xml:space="preserve">от 08.06.2020 г., №364, от 19.11.2020 г. №940,от 22.01.2021 г., №46, от 17.02.2021 г. №88, от 21.04.2021 г. №349, от 20.10.2021 г. №1160, от 28.01.2022 г. №113, от 31.03.2022 г. №319,  от 05.08.2022 г. №745, от 28.12.2022 г. №1060,  от 27.06.2023 г. №355, </w:t>
      </w:r>
      <w:r>
        <w:rPr>
          <w:rStyle w:val="3"/>
          <w:sz w:val="20"/>
          <w:szCs w:val="20"/>
        </w:rPr>
        <w:t xml:space="preserve"> от 15.12.2023 г. №715, </w:t>
      </w:r>
      <w:r>
        <w:rPr>
          <w:rStyle w:val="3"/>
          <w:sz w:val="20"/>
          <w:szCs w:val="20"/>
        </w:rPr>
        <w:t>от 26.03.2014 г. №146-па</w:t>
      </w:r>
      <w:r>
        <w:rPr>
          <w:rStyle w:val="3"/>
          <w:sz w:val="20"/>
          <w:szCs w:val="20"/>
        </w:rPr>
        <w:t>)</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sz w:val="19"/>
          <w:szCs w:val="19"/>
        </w:rPr>
      </w:pPr>
      <w:r>
        <w:rPr>
          <w:rFonts w:cs="Times New Roman" w:ascii="Times New Roman" w:hAnsi="Times New Roman"/>
          <w:b/>
          <w:bCs/>
          <w:sz w:val="19"/>
          <w:szCs w:val="19"/>
        </w:rPr>
        <w:t>РЕСУРСНОЕ ОБЕСПЕЧЕНИЕ И ПРОГНОЗНАЯ (СПРАВОЧНАЯ) ОЦЕНКА РАСХОДОВ ФЕДЕРАЛЬНОГО БЮДЖЕТА, ОБЛАСТНОГО БЮДЖЕТА, БЮДЖЕТА ТИМСКОГО РАЙОНА КУРСКОЙ ОБЛАСТИ  НА РЕАЛИЗАЦИЮ ЦЕЛЕЙ МУНИЦИПАЛЬНОЙ ПРОГРАММЫ ТИМСКОГО РАЙОНА КУРСКОЙ ОБЛАСТИ «КОМПЛЕКСНОЕ РАЗВИТИЕ СЕЛЬСКИХ ТЕРРИТОРИЙ ТИМСКОГО РАЙОНА КУРСКОЙ ОБЛАСТИ»</w:t>
      </w:r>
    </w:p>
    <w:tbl>
      <w:tblPr>
        <w:tblW w:w="14884" w:type="dxa"/>
        <w:jc w:val="left"/>
        <w:tblInd w:w="-58" w:type="dxa"/>
        <w:tblLayout w:type="fixed"/>
        <w:tblCellMar>
          <w:top w:w="102" w:type="dxa"/>
          <w:left w:w="57" w:type="dxa"/>
          <w:bottom w:w="102" w:type="dxa"/>
          <w:right w:w="62" w:type="dxa"/>
        </w:tblCellMar>
        <w:tblLook w:val="0000"/>
      </w:tblPr>
      <w:tblGrid>
        <w:gridCol w:w="1467"/>
        <w:gridCol w:w="3629"/>
        <w:gridCol w:w="2426"/>
        <w:gridCol w:w="1156"/>
        <w:gridCol w:w="1079"/>
        <w:gridCol w:w="1074"/>
        <w:gridCol w:w="1021"/>
        <w:gridCol w:w="972"/>
        <w:gridCol w:w="982"/>
        <w:gridCol w:w="1076"/>
      </w:tblGrid>
      <w:tr>
        <w:trPr/>
        <w:tc>
          <w:tcPr>
            <w:tcW w:w="146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Статус</w:t>
            </w:r>
          </w:p>
        </w:tc>
        <w:tc>
          <w:tcPr>
            <w:tcW w:w="362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9"/>
                <w:szCs w:val="19"/>
              </w:rPr>
            </w:pPr>
            <w:r>
              <w:rPr>
                <w:rFonts w:cs="Times New Roman" w:ascii="Times New Roman" w:hAnsi="Times New Roman"/>
                <w:sz w:val="19"/>
                <w:szCs w:val="19"/>
              </w:rPr>
              <w:t>Наименование муниципальной программы, подпрограммы муниципальной программы, ведомственной целевой программы, основного мероприятия</w:t>
            </w:r>
          </w:p>
        </w:tc>
        <w:tc>
          <w:tcPr>
            <w:tcW w:w="242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Источники ресурсного обеспечения</w:t>
            </w:r>
          </w:p>
        </w:tc>
        <w:tc>
          <w:tcPr>
            <w:tcW w:w="7360"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Оценка расходов (тыс. рублей), годы</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2021</w:t>
            </w:r>
          </w:p>
        </w:tc>
        <w:tc>
          <w:tcPr>
            <w:tcW w:w="10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2022</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2023</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2024</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2025</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2026</w:t>
            </w:r>
          </w:p>
        </w:tc>
      </w:tr>
      <w:tr>
        <w:trPr/>
        <w:tc>
          <w:tcPr>
            <w:tcW w:w="14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w:t>
            </w:r>
          </w:p>
        </w:tc>
        <w:tc>
          <w:tcPr>
            <w:tcW w:w="36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w:t>
            </w:r>
          </w:p>
        </w:tc>
        <w:tc>
          <w:tcPr>
            <w:tcW w:w="2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3</w:t>
            </w:r>
          </w:p>
        </w:tc>
        <w:tc>
          <w:tcPr>
            <w:tcW w:w="1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w:t>
            </w:r>
          </w:p>
        </w:tc>
        <w:tc>
          <w:tcPr>
            <w:tcW w:w="10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5</w:t>
            </w:r>
          </w:p>
        </w:tc>
        <w:tc>
          <w:tcPr>
            <w:tcW w:w="10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6</w:t>
            </w:r>
          </w:p>
        </w:tc>
        <w:tc>
          <w:tcPr>
            <w:tcW w:w="102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7</w:t>
            </w:r>
          </w:p>
        </w:tc>
        <w:tc>
          <w:tcPr>
            <w:tcW w:w="9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8</w:t>
            </w:r>
          </w:p>
        </w:tc>
        <w:tc>
          <w:tcPr>
            <w:tcW w:w="982" w:type="dxa"/>
            <w:tcBorders>
              <w:top w:val="single" w:sz="4" w:space="0" w:color="000000"/>
              <w:left w:val="single" w:sz="4" w:space="0" w:color="000000"/>
              <w:bottom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9</w:t>
            </w:r>
          </w:p>
        </w:tc>
        <w:tc>
          <w:tcPr>
            <w:tcW w:w="10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10</w:t>
            </w:r>
          </w:p>
        </w:tc>
      </w:tr>
      <w:tr>
        <w:trPr/>
        <w:tc>
          <w:tcPr>
            <w:tcW w:w="146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1"/>
              <w:rPr>
                <w:rFonts w:ascii="Times New Roman" w:hAnsi="Times New Roman" w:cs="Times New Roman"/>
                <w:sz w:val="20"/>
                <w:szCs w:val="20"/>
              </w:rPr>
            </w:pPr>
            <w:r>
              <w:rPr>
                <w:rFonts w:cs="Times New Roman" w:ascii="Times New Roman" w:hAnsi="Times New Roman"/>
                <w:sz w:val="20"/>
                <w:szCs w:val="20"/>
              </w:rPr>
              <w:t>Муниципальная программа</w:t>
            </w:r>
          </w:p>
        </w:tc>
        <w:tc>
          <w:tcPr>
            <w:tcW w:w="362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«Комплексное развитие сельских территорий   Тимского района Курской области»</w:t>
            </w:r>
          </w:p>
        </w:tc>
        <w:tc>
          <w:tcPr>
            <w:tcW w:w="2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Всего</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17153,69039</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10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2945,244</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8"/>
                <w:szCs w:val="18"/>
              </w:rPr>
            </w:pPr>
            <w:r>
              <w:rPr>
                <w:rFonts w:cs="Times New Roman" w:ascii="Times New Roman" w:hAnsi="Times New Roman"/>
                <w:sz w:val="20"/>
                <w:szCs w:val="20"/>
              </w:rPr>
              <w:t>2945,244</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1777,100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федеральный бюджет</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областной бюджет</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15371,434</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местный бюджет</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t>1782,25639</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827,000</w:t>
            </w:r>
          </w:p>
        </w:tc>
        <w:tc>
          <w:tcPr>
            <w:tcW w:w="10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2945,244</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8"/>
                <w:szCs w:val="18"/>
              </w:rPr>
            </w:pPr>
            <w:r>
              <w:rPr>
                <w:rFonts w:cs="Times New Roman" w:ascii="Times New Roman" w:hAnsi="Times New Roman"/>
                <w:sz w:val="20"/>
                <w:szCs w:val="20"/>
              </w:rPr>
              <w:t>2945,244</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1777,100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внебюджетные источники</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t>Подпрограмма 1</w:t>
            </w:r>
          </w:p>
        </w:tc>
        <w:tc>
          <w:tcPr>
            <w:tcW w:w="362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«Создание и развитие инфраструктуры на сельских территориях»</w:t>
            </w:r>
          </w:p>
        </w:tc>
        <w:tc>
          <w:tcPr>
            <w:tcW w:w="24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Всего</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17153,69039</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10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2945,244</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8"/>
                <w:szCs w:val="18"/>
              </w:rPr>
            </w:pPr>
            <w:r>
              <w:rPr>
                <w:rFonts w:cs="Times New Roman" w:ascii="Times New Roman" w:hAnsi="Times New Roman"/>
                <w:sz w:val="20"/>
                <w:szCs w:val="20"/>
              </w:rPr>
              <w:t>2945,244</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1777,100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rPr>
            </w:pPr>
            <w:r>
              <w:rPr>
                <w:rFonts w:cs="Times New Roman" w:ascii="Times New Roman" w:hAnsi="Times New Roman"/>
              </w:rPr>
              <w:t>федеральный бюджет</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областной бюджет</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15371,434</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Местный бюджет</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t>1782,25639</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10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2945,244</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6"/>
                <w:szCs w:val="16"/>
              </w:rPr>
            </w:pPr>
            <w:r>
              <w:rPr>
                <w:rFonts w:cs="Times New Roman" w:ascii="Times New Roman" w:hAnsi="Times New Roman"/>
                <w:sz w:val="20"/>
                <w:szCs w:val="20"/>
              </w:rPr>
              <w:t>2945,244</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1777,100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внебюджетные источники</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bl>
    <w:p>
      <w:pPr>
        <w:sectPr>
          <w:headerReference w:type="default" r:id="rId23"/>
          <w:type w:val="nextPage"/>
          <w:pgSz w:orient="landscape" w:w="16838" w:h="11906"/>
          <w:pgMar w:left="1134" w:right="1134" w:header="709" w:top="1134" w:footer="0" w:bottom="851" w:gutter="0"/>
          <w:pgNumType w:fmt="decimal"/>
          <w:formProt w:val="false"/>
          <w:titlePg/>
          <w:textDirection w:val="lrTb"/>
          <w:docGrid w:type="default" w:linePitch="360" w:charSpace="8192"/>
        </w:sectPr>
      </w:pPr>
    </w:p>
    <w:p>
      <w:pPr>
        <w:pStyle w:val="Normal"/>
        <w:spacing w:lineRule="auto" w:line="240" w:before="0" w:after="0"/>
        <w:ind w:firstLine="540"/>
        <w:jc w:val="both"/>
        <w:rPr>
          <w:rFonts w:ascii="Times New Roman" w:hAnsi="Times New Roman" w:cs="Times New Roman"/>
          <w:sz w:val="28"/>
          <w:szCs w:val="28"/>
        </w:rPr>
      </w:pPr>
      <w:r>
        <w:rPr/>
      </w:r>
    </w:p>
    <w:sectPr>
      <w:headerReference w:type="default" r:id="rId24"/>
      <w:type w:val="nextPage"/>
      <w:pgSz w:w="11906" w:h="16838"/>
      <w:pgMar w:left="1701" w:right="851" w:header="426" w:top="1134" w:footer="0" w:bottom="993" w:gutter="0"/>
      <w:pgNumType w:fmt="decimal"/>
      <w:formProt w:val="false"/>
      <w:textDirection w:val="lrTb"/>
      <w:docGrid w:type="default" w:linePitch="10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CordiaUPC">
    <w:charset w:val="cc"/>
    <w:family w:val="roman"/>
    <w:pitch w:val="variable"/>
  </w:font>
  <w:font w:name="Garamond">
    <w:charset w:val="cc"/>
    <w:family w:val="roman"/>
    <w:pitch w:val="variable"/>
  </w:font>
  <w:font w:name="Consolas">
    <w:charset w:val="cc"/>
    <w:family w:val="roman"/>
    <w:pitch w:val="variable"/>
  </w:font>
  <w:font w:name="Liberation Sans">
    <w:altName w:val="Arial"/>
    <w:charset w:val="cc"/>
    <w:family w:val="roman"/>
    <w:pitch w:val="variable"/>
  </w:font>
  <w:font w:name="Arial">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jc w:val="center"/>
      <w:rPr/>
    </w:pPr>
    <w:r>
      <w:rPr/>
      <w:fldChar w:fldCharType="begin"/>
    </w:r>
    <w:r>
      <w:rPr/>
      <w:instrText> PAGE </w:instrText>
    </w:r>
    <w:r>
      <w:rPr/>
      <w:fldChar w:fldCharType="separate"/>
    </w:r>
    <w:r>
      <w:rPr/>
      <w:t>28</w:t>
    </w:r>
    <w:r>
      <w:rPr/>
      <w:fldChar w:fldCharType="end"/>
    </w:r>
  </w:p>
  <w:p>
    <w:pPr>
      <w:pStyle w:val="Style27"/>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jc w:val="center"/>
      <w:rPr/>
    </w:pPr>
    <w:r>
      <w:rPr/>
      <w:fldChar w:fldCharType="begin"/>
    </w:r>
    <w:r>
      <w:rPr/>
      <w:instrText> PAGE </w:instrText>
    </w:r>
    <w:r>
      <w:rPr/>
      <w:fldChar w:fldCharType="separate"/>
    </w:r>
    <w:r>
      <w:rPr/>
      <w:t>37</w:t>
    </w:r>
    <w:r>
      <w:rPr/>
      <w:fldChar w:fldCharType="end"/>
    </w:r>
  </w:p>
  <w:p>
    <w:pPr>
      <w:pStyle w:val="Style27"/>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jc w:val="center"/>
      <w:rPr/>
    </w:pPr>
    <w:r>
      <w:rPr/>
      <w:fldChar w:fldCharType="begin"/>
    </w:r>
    <w:r>
      <w:rPr/>
      <w:instrText> PAGE </w:instrText>
    </w:r>
    <w:r>
      <w:rPr/>
      <w:fldChar w:fldCharType="separate"/>
    </w:r>
    <w:r>
      <w:rPr/>
      <w:t>41</w:t>
    </w:r>
    <w:r>
      <w:rPr/>
      <w:fldChar w:fldCharType="end"/>
    </w:r>
  </w:p>
  <w:p>
    <w:pPr>
      <w:pStyle w:val="Style27"/>
      <w:rPr/>
    </w:pPr>
    <w:r>
      <w:rPr/>
    </w:r>
  </w:p>
</w:hdr>
</file>

<file path=word/settings.xml><?xml version="1.0" encoding="utf-8"?>
<w:settings xmlns:w="http://schemas.openxmlformats.org/wordprocessingml/2006/main">
  <w:zoom w:percent="110"/>
  <w:embedSystemFonts/>
  <w:defaultTabStop w:val="708"/>
  <w:autoHyphenation w:val="true"/>
  <w:doNotHyphenateCaps/>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ru-RU" w:eastAsia="ru-RU" w:bidi="ar-SA"/>
      </w:rPr>
    </w:rPrDefault>
    <w:pPrDefault>
      <w:pPr>
        <w:suppressAutoHyphens w:val="true"/>
      </w:pPr>
    </w:pPrDefault>
  </w:docDefaults>
  <w:latentStyles w:defLockedState="0" w:defUIPriority="99" w:defSemiHidden="1" w:defUnhideWhenUsed="1" w:defQFormat="0" w:count="267">
    <w:lsdException w:name="Normal" w:locked="1" w:uiPriority="0" w:semiHidden="0" w:unhideWhenUsed="0" w:qFormat="1"/>
    <w:lsdException w:name="heading 1" w:locked="1" w:uiPriority="0"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semiHidden="0" w:unhideWhenUsed="0"/>
    <w:lsdException w:name="toc 2" w:locked="1" w:uiPriority="0" w:semiHidden="0" w:unhideWhenUsed="0"/>
    <w:lsdException w:name="toc 3" w:locked="1" w:uiPriority="0" w:semiHidden="0" w:unhideWhenUsed="0"/>
    <w:lsdException w:name="toc 4" w:locked="1" w:uiPriority="0" w:semiHidden="0" w:unhideWhenUsed="0"/>
    <w:lsdException w:name="toc 5" w:locked="1" w:uiPriority="0" w:semiHidden="0" w:unhideWhenUsed="0"/>
    <w:lsdException w:name="toc 6" w:locked="1" w:uiPriority="0" w:semiHidden="0" w:unhideWhenUsed="0"/>
    <w:lsdException w:name="toc 7" w:locked="1" w:uiPriority="0" w:semiHidden="0" w:unhideWhenUsed="0"/>
    <w:lsdException w:name="toc 8" w:locked="1" w:uiPriority="0" w:semiHidden="0" w:unhideWhenUsed="0"/>
    <w:lsdException w:name="toc 9" w:locked="1" w:uiPriority="0" w:semiHidden="0" w:unhideWhenUsed="0"/>
    <w:lsdException w:name="caption" w:locked="1" w:uiPriority="0" w:semiHidden="0" w:unhideWhenUsed="0" w:qFormat="1"/>
    <w:lsdException w:name="Title" w:locked="1" w:uiPriority="0" w:semiHidden="0" w:unhideWhenUsed="0" w:qFormat="1"/>
    <w:lsdException w:name="Default Paragraph Font" w:locked="1" w:uiPriority="0" w:semiHidden="0" w:unhideWhenUsed="0"/>
    <w:lsdException w:name="Subtitle" w:locked="1" w:uiPriority="0" w:semiHidden="0" w:unhideWhenUsed="0" w:qFormat="1"/>
    <w:lsdException w:name="Strong" w:locked="1" w:uiPriority="0" w:semiHidden="0" w:unhideWhenUsed="0" w:qFormat="1"/>
    <w:lsdException w:name="Emphasis" w:locked="1" w:uiPriority="0" w:semiHidden="0" w:unhideWhenUsed="0" w:qFormat="1"/>
    <w:lsdException w:name="Table Grid" w:locked="1"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21862"/>
    <w:pPr>
      <w:widowControl/>
      <w:suppressAutoHyphens w:val="true"/>
      <w:bidi w:val="0"/>
      <w:spacing w:lineRule="auto" w:line="276" w:before="0" w:after="200"/>
      <w:jc w:val="left"/>
    </w:pPr>
    <w:rPr>
      <w:rFonts w:ascii="Calibri" w:hAnsi="Calibri" w:eastAsia="Calibri" w:cs="Calibri"/>
      <w:color w:val="auto"/>
      <w:kern w:val="0"/>
      <w:sz w:val="22"/>
      <w:szCs w:val="22"/>
      <w:lang w:val="ru-RU" w:eastAsia="en-US" w:bidi="ar-SA"/>
    </w:rPr>
  </w:style>
  <w:style w:type="paragraph" w:styleId="1">
    <w:name w:val="Heading 1"/>
    <w:basedOn w:val="Normal"/>
    <w:link w:val="Heading1Char"/>
    <w:uiPriority w:val="99"/>
    <w:qFormat/>
    <w:rsid w:val="00f21862"/>
    <w:pPr>
      <w:spacing w:lineRule="auto" w:line="240" w:beforeAutospacing="1" w:afterAutospacing="1"/>
      <w:outlineLvl w:val="0"/>
    </w:pPr>
    <w:rPr>
      <w:rFonts w:ascii="Times New Roman" w:hAnsi="Times New Roman" w:eastAsia="Times New Roman" w:cs="Times New Roman"/>
      <w:b/>
      <w:bCs/>
      <w:kern w:val="2"/>
      <w:sz w:val="48"/>
      <w:szCs w:val="48"/>
      <w:lang w:eastAsia="ru-RU"/>
    </w:rPr>
  </w:style>
  <w:style w:type="character" w:styleId="DefaultParagraphFont" w:default="1">
    <w:name w:val="Default Paragraph Font"/>
    <w:uiPriority w:val="99"/>
    <w:semiHidden/>
    <w:qFormat/>
    <w:rPr/>
  </w:style>
  <w:style w:type="character" w:styleId="Heading1Char" w:customStyle="1">
    <w:name w:val="Heading 1 Char"/>
    <w:basedOn w:val="DefaultParagraphFont"/>
    <w:link w:val="Heading1"/>
    <w:uiPriority w:val="99"/>
    <w:qFormat/>
    <w:locked/>
    <w:rsid w:val="00f21862"/>
    <w:rPr>
      <w:rFonts w:ascii="Times New Roman" w:hAnsi="Times New Roman" w:cs="Times New Roman"/>
      <w:b/>
      <w:bCs/>
      <w:kern w:val="2"/>
      <w:sz w:val="48"/>
      <w:szCs w:val="48"/>
      <w:lang w:eastAsia="ru-RU"/>
    </w:rPr>
  </w:style>
  <w:style w:type="character" w:styleId="Style13" w:customStyle="1">
    <w:name w:val="Текст выноски Знак"/>
    <w:basedOn w:val="DefaultParagraphFont"/>
    <w:uiPriority w:val="99"/>
    <w:semiHidden/>
    <w:qFormat/>
    <w:rsid w:val="00f21862"/>
    <w:rPr>
      <w:rFonts w:ascii="Tahoma" w:hAnsi="Tahoma" w:cs="Tahoma"/>
      <w:sz w:val="16"/>
      <w:szCs w:val="16"/>
    </w:rPr>
  </w:style>
  <w:style w:type="character" w:styleId="Style14" w:customStyle="1">
    <w:name w:val="Верхний колонтитул Знак"/>
    <w:basedOn w:val="DefaultParagraphFont"/>
    <w:uiPriority w:val="99"/>
    <w:qFormat/>
    <w:rsid w:val="00f21862"/>
    <w:rPr>
      <w:rFonts w:cs="Times New Roman"/>
    </w:rPr>
  </w:style>
  <w:style w:type="character" w:styleId="Style15" w:customStyle="1">
    <w:name w:val="Нижний колонтитул Знак"/>
    <w:basedOn w:val="DefaultParagraphFont"/>
    <w:uiPriority w:val="99"/>
    <w:qFormat/>
    <w:rsid w:val="00f21862"/>
    <w:rPr>
      <w:rFonts w:cs="Times New Roman"/>
    </w:rPr>
  </w:style>
  <w:style w:type="character" w:styleId="Style16">
    <w:name w:val="Интернет-ссылка"/>
    <w:basedOn w:val="DefaultParagraphFont"/>
    <w:uiPriority w:val="99"/>
    <w:rsid w:val="003743ed"/>
    <w:rPr>
      <w:rFonts w:cs="Times New Roman"/>
      <w:color w:val="0000FF"/>
      <w:u w:val="single"/>
    </w:rPr>
  </w:style>
  <w:style w:type="character" w:styleId="BodyTextChar" w:customStyle="1">
    <w:name w:val="Body Text Char"/>
    <w:basedOn w:val="DefaultParagraphFont"/>
    <w:link w:val="BodyText"/>
    <w:uiPriority w:val="99"/>
    <w:semiHidden/>
    <w:qFormat/>
    <w:locked/>
    <w:rsid w:val="00b80d78"/>
    <w:rPr>
      <w:rFonts w:cs="Times New Roman"/>
      <w:lang w:eastAsia="en-US"/>
    </w:rPr>
  </w:style>
  <w:style w:type="character" w:styleId="BalloonTextChar" w:customStyle="1">
    <w:name w:val="Balloon Text Char"/>
    <w:basedOn w:val="DefaultParagraphFont"/>
    <w:link w:val="BalloonText"/>
    <w:uiPriority w:val="99"/>
    <w:semiHidden/>
    <w:qFormat/>
    <w:locked/>
    <w:rsid w:val="00b80d78"/>
    <w:rPr>
      <w:rFonts w:ascii="Times New Roman" w:hAnsi="Times New Roman" w:cs="Times New Roman"/>
      <w:sz w:val="2"/>
      <w:szCs w:val="2"/>
      <w:lang w:eastAsia="en-US"/>
    </w:rPr>
  </w:style>
  <w:style w:type="character" w:styleId="HeaderChar" w:customStyle="1">
    <w:name w:val="Header Char"/>
    <w:basedOn w:val="DefaultParagraphFont"/>
    <w:link w:val="Header"/>
    <w:uiPriority w:val="99"/>
    <w:semiHidden/>
    <w:qFormat/>
    <w:locked/>
    <w:rsid w:val="00b80d78"/>
    <w:rPr>
      <w:rFonts w:cs="Times New Roman"/>
      <w:lang w:eastAsia="en-US"/>
    </w:rPr>
  </w:style>
  <w:style w:type="character" w:styleId="FooterChar" w:customStyle="1">
    <w:name w:val="Footer Char"/>
    <w:basedOn w:val="DefaultParagraphFont"/>
    <w:link w:val="Footer"/>
    <w:uiPriority w:val="99"/>
    <w:semiHidden/>
    <w:qFormat/>
    <w:locked/>
    <w:rsid w:val="00b80d78"/>
    <w:rPr>
      <w:rFonts w:cs="Times New Roman"/>
      <w:lang w:eastAsia="en-US"/>
    </w:rPr>
  </w:style>
  <w:style w:type="character" w:styleId="3" w:customStyle="1">
    <w:name w:val="Основной текст (3)_"/>
    <w:basedOn w:val="DefaultParagraphFont"/>
    <w:uiPriority w:val="99"/>
    <w:qFormat/>
    <w:rsid w:val="00615130"/>
    <w:rPr>
      <w:rFonts w:ascii="Times New Roman" w:hAnsi="Times New Roman" w:cs="Times New Roman"/>
      <w:sz w:val="17"/>
      <w:szCs w:val="17"/>
      <w:u w:val="none"/>
    </w:rPr>
  </w:style>
  <w:style w:type="character" w:styleId="10" w:customStyle="1">
    <w:name w:val="Основной текст + 10"/>
    <w:basedOn w:val="DefaultParagraphFont"/>
    <w:uiPriority w:val="99"/>
    <w:qFormat/>
    <w:rsid w:val="00710920"/>
    <w:rPr>
      <w:rFonts w:cs="Times New Roman"/>
      <w:sz w:val="21"/>
      <w:szCs w:val="21"/>
      <w:lang w:val="ru-RU" w:bidi="ar-SA"/>
    </w:rPr>
  </w:style>
  <w:style w:type="character" w:styleId="Style17" w:customStyle="1">
    <w:name w:val="Основной текст_"/>
    <w:basedOn w:val="DefaultParagraphFont"/>
    <w:uiPriority w:val="99"/>
    <w:qFormat/>
    <w:rsid w:val="00d44a0c"/>
    <w:rPr>
      <w:rFonts w:cs="Times New Roman"/>
      <w:sz w:val="24"/>
      <w:szCs w:val="24"/>
      <w:lang w:val="ru-RU" w:bidi="ar-SA"/>
    </w:rPr>
  </w:style>
  <w:style w:type="character" w:styleId="81" w:customStyle="1">
    <w:name w:val="Основной текст + 81"/>
    <w:basedOn w:val="Style17"/>
    <w:uiPriority w:val="99"/>
    <w:qFormat/>
    <w:rsid w:val="00a76f1d"/>
    <w:rPr>
      <w:sz w:val="17"/>
      <w:szCs w:val="17"/>
    </w:rPr>
  </w:style>
  <w:style w:type="character" w:styleId="4">
    <w:name w:val="Основной текст (4)_"/>
    <w:qFormat/>
    <w:rPr>
      <w:rFonts w:ascii="Times New Roman" w:hAnsi="Times New Roman" w:cs="Times New Roman"/>
      <w:b/>
      <w:bCs/>
      <w:sz w:val="27"/>
      <w:szCs w:val="27"/>
      <w:u w:val="none"/>
    </w:rPr>
  </w:style>
  <w:style w:type="character" w:styleId="CordiaUPC">
    <w:name w:val="Основной текст + CordiaUPC"/>
    <w:qFormat/>
    <w:rPr>
      <w:rFonts w:ascii="CordiaUPC" w:hAnsi="CordiaUPC" w:cs="CordiaUPC"/>
      <w:sz w:val="15"/>
      <w:szCs w:val="15"/>
      <w:u w:val="none"/>
    </w:rPr>
  </w:style>
  <w:style w:type="character" w:styleId="310">
    <w:name w:val="Основной текст (3) + 10"/>
    <w:qFormat/>
    <w:rPr>
      <w:rFonts w:ascii="Times New Roman" w:hAnsi="Times New Roman" w:cs="Times New Roman"/>
      <w:sz w:val="21"/>
      <w:szCs w:val="21"/>
      <w:u w:val="none"/>
    </w:rPr>
  </w:style>
  <w:style w:type="character" w:styleId="4pt1">
    <w:name w:val="Основной текст + 4 pt1"/>
    <w:qFormat/>
    <w:rPr>
      <w:rFonts w:ascii="Times New Roman" w:hAnsi="Times New Roman" w:cs="Times New Roman"/>
      <w:i/>
      <w:iCs/>
      <w:sz w:val="8"/>
      <w:szCs w:val="8"/>
      <w:u w:val="none"/>
      <w:lang w:eastAsia="ru-RU"/>
    </w:rPr>
  </w:style>
  <w:style w:type="character" w:styleId="10pt">
    <w:name w:val="Основной текст + 10 pt"/>
    <w:qFormat/>
    <w:rPr>
      <w:rFonts w:ascii="Times New Roman" w:hAnsi="Times New Roman" w:cs="Times New Roman"/>
      <w:sz w:val="20"/>
      <w:szCs w:val="20"/>
      <w:u w:val="none"/>
      <w:lang w:eastAsia="ru-RU"/>
    </w:rPr>
  </w:style>
  <w:style w:type="character" w:styleId="4pt">
    <w:name w:val="Основной текст + 4 pt"/>
    <w:qFormat/>
    <w:rPr>
      <w:rFonts w:ascii="Times New Roman" w:hAnsi="Times New Roman" w:cs="Times New Roman"/>
      <w:sz w:val="8"/>
      <w:szCs w:val="8"/>
      <w:u w:val="none"/>
      <w:lang w:eastAsia="ru-RU"/>
    </w:rPr>
  </w:style>
  <w:style w:type="character" w:styleId="Garamond">
    <w:name w:val="Основной текст + Garamond"/>
    <w:qFormat/>
    <w:rPr>
      <w:rFonts w:ascii="Garamond" w:hAnsi="Garamond" w:cs="Garamond"/>
      <w:sz w:val="13"/>
      <w:szCs w:val="13"/>
      <w:u w:val="none"/>
      <w:lang w:eastAsia="ru-RU"/>
    </w:rPr>
  </w:style>
  <w:style w:type="character" w:styleId="8">
    <w:name w:val="Основной текст + 8"/>
    <w:qFormat/>
    <w:rPr>
      <w:rFonts w:ascii="Times New Roman" w:hAnsi="Times New Roman" w:cs="Times New Roman"/>
      <w:spacing w:val="20"/>
      <w:sz w:val="17"/>
      <w:szCs w:val="17"/>
      <w:u w:val="none"/>
      <w:lang w:val="en-US"/>
    </w:rPr>
  </w:style>
  <w:style w:type="character" w:styleId="Consolas">
    <w:name w:val="Основной текст + Consolas"/>
    <w:qFormat/>
    <w:rPr>
      <w:rFonts w:ascii="Consolas" w:hAnsi="Consolas" w:cs="Consolas"/>
      <w:sz w:val="16"/>
      <w:szCs w:val="16"/>
      <w:u w:val="none"/>
      <w:lang w:eastAsia="ru-RU"/>
    </w:rPr>
  </w:style>
  <w:style w:type="character" w:styleId="2">
    <w:name w:val="Основной текст (2)_"/>
    <w:qFormat/>
    <w:rPr>
      <w:rFonts w:ascii="Times New Roman" w:hAnsi="Times New Roman" w:cs="Times New Roman"/>
      <w:b/>
      <w:bCs/>
      <w:u w:val="none"/>
    </w:rPr>
  </w:style>
  <w:style w:type="character" w:styleId="Style18">
    <w:name w:val="Колонтитул"/>
    <w:qFormat/>
    <w:rPr>
      <w:rFonts w:ascii="Times New Roman" w:hAnsi="Times New Roman" w:cs="Times New Roman"/>
      <w:sz w:val="19"/>
      <w:szCs w:val="19"/>
      <w:u w:val="none"/>
      <w:lang w:eastAsia="ru-RU"/>
    </w:rPr>
  </w:style>
  <w:style w:type="character" w:styleId="Style19">
    <w:name w:val="Колонтитул_"/>
    <w:qFormat/>
    <w:rPr>
      <w:rFonts w:ascii="Times New Roman" w:hAnsi="Times New Roman" w:cs="Times New Roman"/>
      <w:sz w:val="19"/>
      <w:szCs w:val="19"/>
      <w:u w:val="none"/>
      <w:lang w:eastAsia="ru-RU"/>
    </w:rPr>
  </w:style>
  <w:style w:type="character" w:styleId="11">
    <w:name w:val="Заголовок №1_"/>
    <w:qFormat/>
    <w:rPr>
      <w:rFonts w:ascii="Times New Roman" w:hAnsi="Times New Roman" w:cs="Times New Roman"/>
      <w:b/>
      <w:bCs/>
      <w:u w:val="none"/>
    </w:rPr>
  </w:style>
  <w:style w:type="character" w:styleId="12">
    <w:name w:val="Основной шрифт абзаца1"/>
    <w:qFormat/>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5">
    <w:name w:val="WW8Num21z5"/>
    <w:qFormat/>
    <w:rPr/>
  </w:style>
  <w:style w:type="character" w:styleId="WW8Num21z4">
    <w:name w:val="WW8Num21z4"/>
    <w:qFormat/>
    <w:rPr/>
  </w:style>
  <w:style w:type="character" w:styleId="WW8Num21z3">
    <w:name w:val="WW8Num21z3"/>
    <w:qFormat/>
    <w:rPr/>
  </w:style>
  <w:style w:type="character" w:styleId="WW8Num21z2">
    <w:name w:val="WW8Num21z2"/>
    <w:qFormat/>
    <w:rPr/>
  </w:style>
  <w:style w:type="character" w:styleId="WW8Num21z1">
    <w:name w:val="WW8Num21z1"/>
    <w:qFormat/>
    <w:rPr/>
  </w:style>
  <w:style w:type="character" w:styleId="WW8Num21z0">
    <w:name w:val="WW8Num21z0"/>
    <w:qFormat/>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5">
    <w:name w:val="WW8Num20z5"/>
    <w:qFormat/>
    <w:rPr/>
  </w:style>
  <w:style w:type="character" w:styleId="WW8Num20z4">
    <w:name w:val="WW8Num20z4"/>
    <w:qFormat/>
    <w:rPr/>
  </w:style>
  <w:style w:type="character" w:styleId="WW8Num20z3">
    <w:name w:val="WW8Num20z3"/>
    <w:qFormat/>
    <w:rPr/>
  </w:style>
  <w:style w:type="character" w:styleId="WW8Num20z2">
    <w:name w:val="WW8Num20z2"/>
    <w:qFormat/>
    <w:rPr/>
  </w:style>
  <w:style w:type="character" w:styleId="WW8Num20z1">
    <w:name w:val="WW8Num20z1"/>
    <w:qFormat/>
    <w:rPr/>
  </w:style>
  <w:style w:type="character" w:styleId="WW8Num20z0">
    <w:name w:val="WW8Num20z0"/>
    <w:qFormat/>
    <w:rPr>
      <w:b w:val="false"/>
    </w:rPr>
  </w:style>
  <w:style w:type="character" w:styleId="WW8Num19z8">
    <w:name w:val="WW8Num19z8"/>
    <w:qFormat/>
    <w:rPr/>
  </w:style>
  <w:style w:type="character" w:styleId="WW8Num19z7">
    <w:name w:val="WW8Num19z7"/>
    <w:qFormat/>
    <w:rPr/>
  </w:style>
  <w:style w:type="character" w:styleId="WW8Num19z6">
    <w:name w:val="WW8Num19z6"/>
    <w:qFormat/>
    <w:rPr/>
  </w:style>
  <w:style w:type="character" w:styleId="WW8Num19z5">
    <w:name w:val="WW8Num19z5"/>
    <w:qFormat/>
    <w:rPr/>
  </w:style>
  <w:style w:type="character" w:styleId="WW8Num19z4">
    <w:name w:val="WW8Num19z4"/>
    <w:qFormat/>
    <w:rPr/>
  </w:style>
  <w:style w:type="character" w:styleId="WW8Num19z3">
    <w:name w:val="WW8Num19z3"/>
    <w:qFormat/>
    <w:rPr/>
  </w:style>
  <w:style w:type="character" w:styleId="WW8Num19z2">
    <w:name w:val="WW8Num19z2"/>
    <w:qFormat/>
    <w:rPr/>
  </w:style>
  <w:style w:type="character" w:styleId="WW8Num19z1">
    <w:name w:val="WW8Num19z1"/>
    <w:qFormat/>
    <w:rPr/>
  </w:style>
  <w:style w:type="character" w:styleId="WW8Num19z0">
    <w:name w:val="WW8Num19z0"/>
    <w:qFormat/>
    <w:rPr>
      <w:b w:val="false"/>
    </w:rPr>
  </w:style>
  <w:style w:type="character" w:styleId="Style20">
    <w:name w:val="Основной шрифт абзаца"/>
    <w:qFormat/>
    <w:rPr/>
  </w:style>
  <w:style w:type="character" w:styleId="WW8Num18z8">
    <w:name w:val="WW8Num18z8"/>
    <w:qFormat/>
    <w:rPr/>
  </w:style>
  <w:style w:type="character" w:styleId="WW8Num18z7">
    <w:name w:val="WW8Num18z7"/>
    <w:qFormat/>
    <w:rPr/>
  </w:style>
  <w:style w:type="character" w:styleId="WW8Num18z6">
    <w:name w:val="WW8Num18z6"/>
    <w:qFormat/>
    <w:rPr/>
  </w:style>
  <w:style w:type="character" w:styleId="WW8Num18z5">
    <w:name w:val="WW8Num18z5"/>
    <w:qFormat/>
    <w:rPr/>
  </w:style>
  <w:style w:type="character" w:styleId="WW8Num18z4">
    <w:name w:val="WW8Num18z4"/>
    <w:qFormat/>
    <w:rPr/>
  </w:style>
  <w:style w:type="character" w:styleId="WW8Num18z3">
    <w:name w:val="WW8Num18z3"/>
    <w:qFormat/>
    <w:rPr/>
  </w:style>
  <w:style w:type="character" w:styleId="WW8Num18z2">
    <w:name w:val="WW8Num18z2"/>
    <w:qFormat/>
    <w:rPr/>
  </w:style>
  <w:style w:type="character" w:styleId="WW8Num18z1">
    <w:name w:val="WW8Num18z1"/>
    <w:qFormat/>
    <w:rPr/>
  </w:style>
  <w:style w:type="character" w:styleId="WW8Num18z0">
    <w:name w:val="WW8Num18z0"/>
    <w:qFormat/>
    <w:rPr>
      <w:bCs w:val="false"/>
      <w:color w:val="000000"/>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5">
    <w:name w:val="WW8Num17z5"/>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7z1">
    <w:name w:val="WW8Num17z1"/>
    <w:qFormat/>
    <w:rPr>
      <w:b w:val="false"/>
      <w:bCs w:val="false"/>
      <w:color w:val="000000"/>
    </w:rPr>
  </w:style>
  <w:style w:type="character" w:styleId="WW8Num17z0">
    <w:name w:val="WW8Num17z0"/>
    <w:qFormat/>
    <w:rPr>
      <w:b w:val="false"/>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5">
    <w:name w:val="WW8Num16z5"/>
    <w:qFormat/>
    <w:rPr/>
  </w:style>
  <w:style w:type="character" w:styleId="WW8Num16z4">
    <w:name w:val="WW8Num16z4"/>
    <w:qFormat/>
    <w:rPr/>
  </w:style>
  <w:style w:type="character" w:styleId="WW8Num16z3">
    <w:name w:val="WW8Num16z3"/>
    <w:qFormat/>
    <w:rPr/>
  </w:style>
  <w:style w:type="character" w:styleId="WW8Num16z2">
    <w:name w:val="WW8Num16z2"/>
    <w:qFormat/>
    <w:rPr/>
  </w:style>
  <w:style w:type="character" w:styleId="WW8Num16z1">
    <w:name w:val="WW8Num16z1"/>
    <w:qFormat/>
    <w:rPr/>
  </w:style>
  <w:style w:type="character" w:styleId="WW8Num16z0">
    <w:name w:val="WW8Num16z0"/>
    <w:qFormat/>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style>
  <w:style w:type="character" w:styleId="WW8Num15z2">
    <w:name w:val="WW8Num15z2"/>
    <w:qFormat/>
    <w:rPr/>
  </w:style>
  <w:style w:type="character" w:styleId="WW8Num15z1">
    <w:name w:val="WW8Num15z1"/>
    <w:qFormat/>
    <w:rPr>
      <w:b w:val="false"/>
      <w:bCs w:val="false"/>
      <w:color w:val="000000"/>
    </w:rPr>
  </w:style>
  <w:style w:type="character" w:styleId="WW8Num15z0">
    <w:name w:val="WW8Num15z0"/>
    <w:qFormat/>
    <w:rPr>
      <w:b w:val="false"/>
    </w:rPr>
  </w:style>
  <w:style w:type="character" w:styleId="WW8Num14z0">
    <w:name w:val="WW8Num14z0"/>
    <w:qFormat/>
    <w:rPr>
      <w:rFonts w:ascii="Times New Roman" w:hAnsi="Times New Roman" w:cs="Times New Roman"/>
      <w:b w:val="false"/>
      <w:bCs w:val="false"/>
      <w:i w:val="false"/>
      <w:iCs w:val="false"/>
      <w:caps w:val="false"/>
      <w:smallCaps w:val="false"/>
      <w:strike w:val="false"/>
      <w:dstrike w:val="false"/>
      <w:color w:val="000000"/>
      <w:spacing w:val="0"/>
      <w:w w:val="100"/>
      <w:sz w:val="25"/>
      <w:szCs w:val="25"/>
      <w:u w:val="none"/>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style>
  <w:style w:type="character" w:styleId="WW8Num13z2">
    <w:name w:val="WW8Num13z2"/>
    <w:qFormat/>
    <w:rPr/>
  </w:style>
  <w:style w:type="character" w:styleId="WW8Num13z1">
    <w:name w:val="WW8Num13z1"/>
    <w:qFormat/>
    <w:rPr/>
  </w:style>
  <w:style w:type="character" w:styleId="WW8Num13z0">
    <w:name w:val="WW8Num13z0"/>
    <w:qFormat/>
    <w:rPr>
      <w:b w:val="false"/>
      <w:bCs w:val="false"/>
      <w:color w:val="000000"/>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5">
    <w:name w:val="WW8Num12z5"/>
    <w:qFormat/>
    <w:rPr/>
  </w:style>
  <w:style w:type="character" w:styleId="WW8Num12z4">
    <w:name w:val="WW8Num12z4"/>
    <w:qFormat/>
    <w:rPr/>
  </w:style>
  <w:style w:type="character" w:styleId="WW8Num12z3">
    <w:name w:val="WW8Num12z3"/>
    <w:qFormat/>
    <w:rPr/>
  </w:style>
  <w:style w:type="character" w:styleId="WW8Num12z2">
    <w:name w:val="WW8Num12z2"/>
    <w:qFormat/>
    <w:rPr/>
  </w:style>
  <w:style w:type="character" w:styleId="WW8Num12z1">
    <w:name w:val="WW8Num12z1"/>
    <w:qFormat/>
    <w:rPr>
      <w:bCs w:val="false"/>
      <w:color w:val="000000"/>
    </w:rPr>
  </w:style>
  <w:style w:type="character" w:styleId="WW8Num12z0">
    <w:name w:val="WW8Num12z0"/>
    <w:qFormat/>
    <w:rPr>
      <w:bCs w:val="false"/>
      <w:color w:val="000000"/>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10z1">
    <w:name w:val="WW8Num10z1"/>
    <w:qFormat/>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9z3">
    <w:name w:val="WW8Num9z3"/>
    <w:qFormat/>
    <w:rPr/>
  </w:style>
  <w:style w:type="character" w:styleId="WW8Num9z2">
    <w:name w:val="WW8Num9z2"/>
    <w:qFormat/>
    <w:rPr/>
  </w:style>
  <w:style w:type="character" w:styleId="WW8Num9z1">
    <w:name w:val="WW8Num9z1"/>
    <w:qFormat/>
    <w:rPr/>
  </w:style>
  <w:style w:type="character" w:styleId="WW8Num8z1">
    <w:name w:val="WW8Num8z1"/>
    <w:qFormat/>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1z3">
    <w:name w:val="WW8Num11z3"/>
    <w:qFormat/>
    <w:rPr/>
  </w:style>
  <w:style w:type="character" w:styleId="WW8Num11z2">
    <w:name w:val="WW8Num11z2"/>
    <w:qFormat/>
    <w:rPr/>
  </w:style>
  <w:style w:type="character" w:styleId="WW8Num11z1">
    <w:name w:val="WW8Num11z1"/>
    <w:qFormat/>
    <w:rPr/>
  </w:style>
  <w:style w:type="character" w:styleId="WW8Num11z0">
    <w:name w:val="WW8Num11z0"/>
    <w:qFormat/>
    <w:rPr/>
  </w:style>
  <w:style w:type="character" w:styleId="WW8Num10z0">
    <w:name w:val="WW8Num10z0"/>
    <w:qFormat/>
    <w:rPr>
      <w:b/>
      <w:bCs w:val="false"/>
      <w:color w:val="000000"/>
    </w:rPr>
  </w:style>
  <w:style w:type="character" w:styleId="WW8Num9z0">
    <w:name w:val="WW8Num9z0"/>
    <w:qFormat/>
    <w:rPr>
      <w:b w:val="false"/>
      <w:bCs w:val="false"/>
      <w:color w:val="000000"/>
    </w:rPr>
  </w:style>
  <w:style w:type="character" w:styleId="WW8Num8z8">
    <w:name w:val="WW8Num8z8"/>
    <w:qFormat/>
    <w:rPr/>
  </w:style>
  <w:style w:type="character" w:styleId="WW8Num8z7">
    <w:name w:val="WW8Num8z7"/>
    <w:qFormat/>
    <w:rPr/>
  </w:style>
  <w:style w:type="character" w:styleId="WW8Num8z6">
    <w:name w:val="WW8Num8z6"/>
    <w:qFormat/>
    <w:rPr/>
  </w:style>
  <w:style w:type="character" w:styleId="WW8Num8z5">
    <w:name w:val="WW8Num8z5"/>
    <w:qFormat/>
    <w:rPr/>
  </w:style>
  <w:style w:type="character" w:styleId="WW8Num8z4">
    <w:name w:val="WW8Num8z4"/>
    <w:qFormat/>
    <w:rPr/>
  </w:style>
  <w:style w:type="character" w:styleId="WW8Num8z3">
    <w:name w:val="WW8Num8z3"/>
    <w:qFormat/>
    <w:rPr/>
  </w:style>
  <w:style w:type="character" w:styleId="WW8Num8z2">
    <w:name w:val="WW8Num8z2"/>
    <w:qFormat/>
    <w:rPr/>
  </w:style>
  <w:style w:type="character" w:styleId="WW8Num8z0">
    <w:name w:val="WW8Num8z0"/>
    <w:qFormat/>
    <w:rPr>
      <w:b/>
      <w:bCs w:val="false"/>
      <w:color w:val="000000"/>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7z2">
    <w:name w:val="WW8Num7z2"/>
    <w:qFormat/>
    <w:rPr/>
  </w:style>
  <w:style w:type="character" w:styleId="WW8Num7z1">
    <w:name w:val="WW8Num7z1"/>
    <w:qFormat/>
    <w:rPr/>
  </w:style>
  <w:style w:type="character" w:styleId="WW8Num7z0">
    <w:name w:val="WW8Num7z0"/>
    <w:qFormat/>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6z4">
    <w:name w:val="WW8Num6z4"/>
    <w:qFormat/>
    <w:rPr/>
  </w:style>
  <w:style w:type="character" w:styleId="WW8Num6z3">
    <w:name w:val="WW8Num6z3"/>
    <w:qFormat/>
    <w:rPr/>
  </w:style>
  <w:style w:type="character" w:styleId="WW8Num6z2">
    <w:name w:val="WW8Num6z2"/>
    <w:qFormat/>
    <w:rPr/>
  </w:style>
  <w:style w:type="character" w:styleId="WW8Num6z1">
    <w:name w:val="WW8Num6z1"/>
    <w:qFormat/>
    <w:rPr/>
  </w:style>
  <w:style w:type="character" w:styleId="WW8Num6z0">
    <w:name w:val="WW8Num6z0"/>
    <w:qFormat/>
    <w:rPr>
      <w:b w:val="false"/>
    </w:rPr>
  </w:style>
  <w:style w:type="character" w:styleId="WW8Num5z8">
    <w:name w:val="WW8Num5z8"/>
    <w:qFormat/>
    <w:rPr/>
  </w:style>
  <w:style w:type="character" w:styleId="WW8Num5z7">
    <w:name w:val="WW8Num5z7"/>
    <w:qFormat/>
    <w:rPr/>
  </w:style>
  <w:style w:type="character" w:styleId="WW8Num5z6">
    <w:name w:val="WW8Num5z6"/>
    <w:qFormat/>
    <w:rPr/>
  </w:style>
  <w:style w:type="character" w:styleId="WW8Num5z5">
    <w:name w:val="WW8Num5z5"/>
    <w:qFormat/>
    <w:rPr/>
  </w:style>
  <w:style w:type="character" w:styleId="WW8Num5z4">
    <w:name w:val="WW8Num5z4"/>
    <w:qFormat/>
    <w:rPr/>
  </w:style>
  <w:style w:type="character" w:styleId="WW8Num5z3">
    <w:name w:val="WW8Num5z3"/>
    <w:qFormat/>
    <w:rPr/>
  </w:style>
  <w:style w:type="character" w:styleId="WW8Num5z2">
    <w:name w:val="WW8Num5z2"/>
    <w:qFormat/>
    <w:rPr/>
  </w:style>
  <w:style w:type="character" w:styleId="WW8Num5z1">
    <w:name w:val="WW8Num5z1"/>
    <w:qFormat/>
    <w:rPr>
      <w:b w:val="false"/>
      <w:bCs w:val="false"/>
      <w:color w:val="000000"/>
      <w:sz w:val="28"/>
      <w:szCs w:val="28"/>
    </w:rPr>
  </w:style>
  <w:style w:type="character" w:styleId="WW8Num5z0">
    <w:name w:val="WW8Num5z0"/>
    <w:qFormat/>
    <w:rPr>
      <w:b w:val="false"/>
    </w:rPr>
  </w:style>
  <w:style w:type="character" w:styleId="WW8Num4z8">
    <w:name w:val="WW8Num4z8"/>
    <w:qFormat/>
    <w:rPr/>
  </w:style>
  <w:style w:type="character" w:styleId="WW8Num4z7">
    <w:name w:val="WW8Num4z7"/>
    <w:qFormat/>
    <w:rPr/>
  </w:style>
  <w:style w:type="character" w:styleId="WW8Num4z6">
    <w:name w:val="WW8Num4z6"/>
    <w:qFormat/>
    <w:rPr/>
  </w:style>
  <w:style w:type="character" w:styleId="WW8Num4z5">
    <w:name w:val="WW8Num4z5"/>
    <w:qFormat/>
    <w:rPr/>
  </w:style>
  <w:style w:type="character" w:styleId="WW8Num4z4">
    <w:name w:val="WW8Num4z4"/>
    <w:qFormat/>
    <w:rPr/>
  </w:style>
  <w:style w:type="character" w:styleId="WW8Num4z3">
    <w:name w:val="WW8Num4z3"/>
    <w:qFormat/>
    <w:rPr/>
  </w:style>
  <w:style w:type="character" w:styleId="WW8Num4z2">
    <w:name w:val="WW8Num4z2"/>
    <w:qFormat/>
    <w:rPr/>
  </w:style>
  <w:style w:type="character" w:styleId="WW8Num4z1">
    <w:name w:val="WW8Num4z1"/>
    <w:qFormat/>
    <w:rPr>
      <w:b w:val="false"/>
      <w:bCs w:val="false"/>
      <w:color w:val="000000"/>
    </w:rPr>
  </w:style>
  <w:style w:type="character" w:styleId="WW8Num4z0">
    <w:name w:val="WW8Num4z0"/>
    <w:qFormat/>
    <w:rPr>
      <w:b w:val="false"/>
    </w:rPr>
  </w:style>
  <w:style w:type="character" w:styleId="WW8Num3z0">
    <w:name w:val="WW8Num3z0"/>
    <w:qFormat/>
    <w:rPr>
      <w:rFonts w:ascii="Times New Roman" w:hAnsi="Times New Roman" w:cs="Times New Roman"/>
      <w:b w:val="false"/>
      <w:bCs w:val="false"/>
      <w:i w:val="false"/>
      <w:iCs w:val="false"/>
      <w:caps w:val="false"/>
      <w:smallCaps w:val="false"/>
      <w:strike w:val="false"/>
      <w:dstrike w:val="false"/>
      <w:color w:val="000000"/>
      <w:spacing w:val="0"/>
      <w:w w:val="100"/>
      <w:sz w:val="25"/>
      <w:szCs w:val="25"/>
      <w:u w:val="none"/>
    </w:rPr>
  </w:style>
  <w:style w:type="character" w:styleId="WW8Num2z0">
    <w:name w:val="WW8Num2z0"/>
    <w:qFormat/>
    <w:rPr>
      <w:rFonts w:ascii="Times New Roman" w:hAnsi="Times New Roman" w:cs="Times New Roman"/>
      <w:b w:val="false"/>
      <w:bCs w:val="false"/>
      <w:i w:val="false"/>
      <w:iCs w:val="false"/>
      <w:caps w:val="false"/>
      <w:smallCaps w:val="false"/>
      <w:strike w:val="false"/>
      <w:dstrike w:val="false"/>
      <w:color w:val="000000"/>
      <w:spacing w:val="0"/>
      <w:w w:val="100"/>
      <w:sz w:val="25"/>
      <w:szCs w:val="25"/>
      <w:u w:val="none"/>
    </w:rPr>
  </w:style>
  <w:style w:type="character" w:styleId="WW8Num1z0">
    <w:name w:val="WW8Num1z0"/>
    <w:qFormat/>
    <w:rPr>
      <w:rFonts w:ascii="Times New Roman" w:hAnsi="Times New Roman" w:cs="Times New Roman"/>
      <w:b w:val="false"/>
      <w:bCs w:val="false"/>
      <w:i w:val="false"/>
      <w:iCs w:val="false"/>
      <w:caps w:val="false"/>
      <w:smallCaps w:val="false"/>
      <w:strike w:val="false"/>
      <w:dstrike w:val="false"/>
      <w:color w:val="000000"/>
      <w:spacing w:val="0"/>
      <w:w w:val="100"/>
      <w:sz w:val="25"/>
      <w:szCs w:val="25"/>
      <w:u w:val="none"/>
    </w:rPr>
  </w:style>
  <w:style w:type="paragraph" w:styleId="Style21" w:customStyle="1">
    <w:name w:val="Заголовок"/>
    <w:basedOn w:val="Normal"/>
    <w:next w:val="Style22"/>
    <w:uiPriority w:val="99"/>
    <w:qFormat/>
    <w:rsid w:val="00f66be9"/>
    <w:pPr>
      <w:keepNext w:val="true"/>
      <w:spacing w:before="240" w:after="120"/>
    </w:pPr>
    <w:rPr>
      <w:rFonts w:ascii="Liberation Sans" w:hAnsi="Liberation Sans" w:eastAsia="Microsoft YaHei" w:cs="Liberation Sans"/>
      <w:sz w:val="28"/>
      <w:szCs w:val="28"/>
    </w:rPr>
  </w:style>
  <w:style w:type="paragraph" w:styleId="Style22">
    <w:name w:val="Body Text"/>
    <w:basedOn w:val="Normal"/>
    <w:link w:val="BodyTextChar"/>
    <w:uiPriority w:val="99"/>
    <w:rsid w:val="00f66be9"/>
    <w:pPr>
      <w:spacing w:before="0" w:after="140"/>
    </w:pPr>
    <w:rPr/>
  </w:style>
  <w:style w:type="paragraph" w:styleId="Style23">
    <w:name w:val="List"/>
    <w:basedOn w:val="Style22"/>
    <w:uiPriority w:val="99"/>
    <w:rsid w:val="00f66be9"/>
    <w:pPr/>
    <w:rPr/>
  </w:style>
  <w:style w:type="paragraph" w:styleId="Style24">
    <w:name w:val="Caption"/>
    <w:basedOn w:val="Normal"/>
    <w:qFormat/>
    <w:pPr>
      <w:suppressLineNumbers/>
      <w:spacing w:before="120" w:after="120"/>
    </w:pPr>
    <w:rPr>
      <w:rFonts w:cs="Arial"/>
      <w:i/>
      <w:iCs/>
      <w:sz w:val="24"/>
      <w:szCs w:val="24"/>
    </w:rPr>
  </w:style>
  <w:style w:type="paragraph" w:styleId="Style25">
    <w:name w:val="Указатель"/>
    <w:basedOn w:val="Normal"/>
    <w:qFormat/>
    <w:pPr>
      <w:suppressLineNumbers/>
    </w:pPr>
    <w:rPr>
      <w:rFonts w:cs="Arial"/>
    </w:rPr>
  </w:style>
  <w:style w:type="paragraph" w:styleId="Caption">
    <w:name w:val="caption"/>
    <w:basedOn w:val="Normal"/>
    <w:uiPriority w:val="99"/>
    <w:qFormat/>
    <w:rsid w:val="00f66be9"/>
    <w:pPr>
      <w:suppressLineNumbers/>
      <w:spacing w:before="120" w:after="120"/>
    </w:pPr>
    <w:rPr>
      <w:i/>
      <w:iCs/>
      <w:sz w:val="24"/>
      <w:szCs w:val="24"/>
    </w:rPr>
  </w:style>
  <w:style w:type="paragraph" w:styleId="Index1">
    <w:name w:val="index 1"/>
    <w:basedOn w:val="Normal"/>
    <w:next w:val="Normal"/>
    <w:autoRedefine/>
    <w:uiPriority w:val="99"/>
    <w:semiHidden/>
    <w:qFormat/>
    <w:rsid w:val="00f21862"/>
    <w:pPr>
      <w:ind w:left="220" w:hanging="220"/>
    </w:pPr>
    <w:rPr/>
  </w:style>
  <w:style w:type="paragraph" w:styleId="Indexheading">
    <w:name w:val="index heading"/>
    <w:basedOn w:val="Normal"/>
    <w:uiPriority w:val="99"/>
    <w:semiHidden/>
    <w:qFormat/>
    <w:rsid w:val="00f66be9"/>
    <w:pPr>
      <w:suppressLineNumbers/>
    </w:pPr>
    <w:rPr/>
  </w:style>
  <w:style w:type="paragraph" w:styleId="ConsPlusNormal" w:customStyle="1">
    <w:name w:val="ConsPlusNormal"/>
    <w:uiPriority w:val="99"/>
    <w:qFormat/>
    <w:rsid w:val="00f21862"/>
    <w:pPr>
      <w:widowControl w:val="false"/>
      <w:suppressAutoHyphens w:val="true"/>
      <w:bidi w:val="0"/>
      <w:spacing w:before="0" w:after="0"/>
      <w:jc w:val="left"/>
    </w:pPr>
    <w:rPr>
      <w:rFonts w:ascii="Calibri" w:hAnsi="Calibri" w:eastAsia="Times New Roman" w:cs="Calibri"/>
      <w:color w:val="auto"/>
      <w:kern w:val="0"/>
      <w:sz w:val="22"/>
      <w:szCs w:val="22"/>
      <w:lang w:val="ru-RU" w:eastAsia="ru-RU" w:bidi="ar-SA"/>
    </w:rPr>
  </w:style>
  <w:style w:type="paragraph" w:styleId="ConsPlusTitle" w:customStyle="1">
    <w:name w:val="ConsPlusTitle"/>
    <w:uiPriority w:val="99"/>
    <w:qFormat/>
    <w:rsid w:val="00f21862"/>
    <w:pPr>
      <w:widowControl w:val="false"/>
      <w:suppressAutoHyphens w:val="true"/>
      <w:bidi w:val="0"/>
      <w:spacing w:before="0" w:after="0"/>
      <w:jc w:val="left"/>
    </w:pPr>
    <w:rPr>
      <w:rFonts w:ascii="Calibri" w:hAnsi="Calibri" w:eastAsia="Times New Roman" w:cs="Calibri"/>
      <w:b/>
      <w:bCs/>
      <w:color w:val="auto"/>
      <w:kern w:val="0"/>
      <w:sz w:val="22"/>
      <w:szCs w:val="22"/>
      <w:lang w:val="ru-RU" w:eastAsia="ru-RU" w:bidi="ar-SA"/>
    </w:rPr>
  </w:style>
  <w:style w:type="paragraph" w:styleId="BalloonText">
    <w:name w:val="Balloon Text"/>
    <w:basedOn w:val="Normal"/>
    <w:link w:val="BalloonTextChar"/>
    <w:uiPriority w:val="99"/>
    <w:semiHidden/>
    <w:qFormat/>
    <w:rsid w:val="00f21862"/>
    <w:pPr>
      <w:spacing w:lineRule="auto" w:line="240" w:before="0" w:after="0"/>
    </w:pPr>
    <w:rPr>
      <w:rFonts w:ascii="Tahoma" w:hAnsi="Tahoma" w:cs="Tahoma"/>
      <w:sz w:val="16"/>
      <w:szCs w:val="16"/>
    </w:rPr>
  </w:style>
  <w:style w:type="paragraph" w:styleId="Style26">
    <w:name w:val="Колонтитул"/>
    <w:basedOn w:val="Normal"/>
    <w:qFormat/>
    <w:pPr/>
    <w:rPr/>
  </w:style>
  <w:style w:type="paragraph" w:styleId="Style27">
    <w:name w:val="Header"/>
    <w:basedOn w:val="Normal"/>
    <w:link w:val="HeaderChar"/>
    <w:uiPriority w:val="99"/>
    <w:rsid w:val="00f21862"/>
    <w:pPr>
      <w:tabs>
        <w:tab w:val="clear" w:pos="708"/>
        <w:tab w:val="center" w:pos="4677" w:leader="none"/>
        <w:tab w:val="right" w:pos="9355" w:leader="none"/>
      </w:tabs>
      <w:spacing w:lineRule="auto" w:line="240" w:before="0" w:after="0"/>
    </w:pPr>
    <w:rPr/>
  </w:style>
  <w:style w:type="paragraph" w:styleId="Style28">
    <w:name w:val="Footer"/>
    <w:basedOn w:val="Normal"/>
    <w:link w:val="FooterChar"/>
    <w:uiPriority w:val="99"/>
    <w:rsid w:val="00f21862"/>
    <w:pPr>
      <w:tabs>
        <w:tab w:val="clear" w:pos="708"/>
        <w:tab w:val="center" w:pos="4677" w:leader="none"/>
        <w:tab w:val="right" w:pos="9355" w:leader="none"/>
      </w:tabs>
      <w:spacing w:lineRule="auto" w:line="240" w:before="0" w:after="0"/>
    </w:pPr>
    <w:rPr/>
  </w:style>
  <w:style w:type="paragraph" w:styleId="ListParagraph">
    <w:name w:val="List Paragraph"/>
    <w:basedOn w:val="Normal"/>
    <w:uiPriority w:val="99"/>
    <w:qFormat/>
    <w:rsid w:val="00eb1558"/>
    <w:pPr>
      <w:ind w:left="720" w:hanging="0"/>
    </w:pPr>
    <w:rPr/>
  </w:style>
  <w:style w:type="paragraph" w:styleId="ConsPlusCell" w:customStyle="1">
    <w:name w:val="ConsPlusCell"/>
    <w:uiPriority w:val="99"/>
    <w:qFormat/>
    <w:rsid w:val="00710920"/>
    <w:pPr>
      <w:widowControl/>
      <w:suppressAutoHyphens w:val="true"/>
      <w:bidi w:val="0"/>
      <w:spacing w:before="0" w:after="0"/>
      <w:jc w:val="left"/>
    </w:pPr>
    <w:rPr>
      <w:rFonts w:ascii="Arial" w:hAnsi="Arial" w:eastAsia="Times New Roman" w:cs="Arial"/>
      <w:color w:val="auto"/>
      <w:kern w:val="0"/>
      <w:sz w:val="20"/>
      <w:szCs w:val="20"/>
      <w:lang w:val="ru-RU" w:eastAsia="zh-CN" w:bidi="ar-SA"/>
    </w:rPr>
  </w:style>
  <w:style w:type="paragraph" w:styleId="NormalWeb">
    <w:name w:val="Normal (Web)"/>
    <w:basedOn w:val="Normal"/>
    <w:uiPriority w:val="99"/>
    <w:qFormat/>
    <w:rsid w:val="00a76f1d"/>
    <w:pPr>
      <w:suppressAutoHyphens w:val="true"/>
      <w:spacing w:lineRule="auto" w:line="240" w:before="100" w:after="100"/>
    </w:pPr>
    <w:rPr>
      <w:rFonts w:ascii="Times New Roman" w:hAnsi="Times New Roman" w:cs="Times New Roman"/>
      <w:sz w:val="24"/>
      <w:szCs w:val="24"/>
      <w:lang w:eastAsia="zh-CN"/>
    </w:rPr>
  </w:style>
  <w:style w:type="paragraph" w:styleId="Style29">
    <w:name w:val="Содержимое таблицы"/>
    <w:basedOn w:val="Normal"/>
    <w:qFormat/>
    <w:pPr>
      <w:widowControl w:val="false"/>
      <w:suppressLineNumbers/>
    </w:pPr>
    <w:rPr/>
  </w:style>
  <w:style w:type="paragraph" w:styleId="Style30">
    <w:name w:val="Заголовок таблицы"/>
    <w:basedOn w:val="Style29"/>
    <w:qFormat/>
    <w:pPr>
      <w:suppressLineNumbers/>
      <w:jc w:val="center"/>
    </w:pPr>
    <w:rPr>
      <w:b/>
      <w:bCs/>
    </w:rPr>
  </w:style>
  <w:style w:type="paragraph" w:styleId="Style31">
    <w:name w:val="Без интервала"/>
    <w:qFormat/>
    <w:pPr>
      <w:widowControl/>
      <w:suppressAutoHyphens w:val="true"/>
      <w:bidi w:val="0"/>
      <w:spacing w:before="0" w:after="0"/>
      <w:jc w:val="left"/>
    </w:pPr>
    <w:rPr>
      <w:rFonts w:ascii="Calibri" w:hAnsi="Calibri" w:eastAsia="Calibri" w:cs="Calibri"/>
      <w:color w:val="auto"/>
      <w:kern w:val="2"/>
      <w:sz w:val="22"/>
      <w:szCs w:val="22"/>
      <w:lang w:val="ru-RU" w:eastAsia="zh-CN" w:bidi="ar-SA"/>
    </w:rPr>
  </w:style>
  <w:style w:type="paragraph" w:styleId="Style32">
    <w:name w:val="Основной"/>
    <w:qFormat/>
    <w:pPr>
      <w:widowControl/>
      <w:suppressAutoHyphens w:val="true"/>
      <w:bidi w:val="0"/>
      <w:spacing w:lineRule="exact" w:line="216" w:before="0" w:after="0"/>
      <w:ind w:left="6000" w:right="120" w:hanging="0"/>
      <w:jc w:val="center"/>
    </w:pPr>
    <w:rPr>
      <w:rFonts w:ascii="Times New Roman" w:hAnsi="Times New Roman" w:eastAsia="Calibri" w:cs="Times New Roman"/>
      <w:color w:val="auto"/>
      <w:kern w:val="0"/>
      <w:sz w:val="22"/>
      <w:szCs w:val="22"/>
      <w:lang w:val="ru-RU" w:eastAsia="ru-RU" w:bidi="ar-SA"/>
    </w:rPr>
  </w:style>
  <w:style w:type="paragraph" w:styleId="41">
    <w:name w:val="Основной текст (4)"/>
    <w:basedOn w:val="Normal"/>
    <w:qFormat/>
    <w:pPr>
      <w:shd w:fill="FFFFFF"/>
      <w:spacing w:lineRule="exact" w:line="324" w:before="420" w:after="0"/>
      <w:ind w:hanging="1900"/>
      <w:jc w:val="center"/>
    </w:pPr>
    <w:rPr>
      <w:b/>
      <w:bCs/>
      <w:sz w:val="27"/>
      <w:szCs w:val="27"/>
    </w:rPr>
  </w:style>
  <w:style w:type="paragraph" w:styleId="Formattext">
    <w:name w:val="formattext"/>
    <w:basedOn w:val="Normal"/>
    <w:qFormat/>
    <w:pPr>
      <w:widowControl/>
      <w:spacing w:before="280" w:after="280"/>
    </w:pPr>
    <w:rPr>
      <w:rFonts w:ascii="Times New Roman" w:hAnsi="Times New Roman" w:eastAsia="Times New Roman" w:cs="Times New Roman"/>
    </w:rPr>
  </w:style>
  <w:style w:type="paragraph" w:styleId="Formattexttopleveltextcentertext">
    <w:name w:val="formattext topleveltext centertext"/>
    <w:basedOn w:val="Normal"/>
    <w:qFormat/>
    <w:pPr>
      <w:widowControl/>
      <w:spacing w:before="280" w:after="280"/>
    </w:pPr>
    <w:rPr>
      <w:rFonts w:ascii="Times New Roman" w:hAnsi="Times New Roman" w:eastAsia="Times New Roman" w:cs="Times New Roman"/>
    </w:rPr>
  </w:style>
  <w:style w:type="paragraph" w:styleId="Formattexttopleveltext">
    <w:name w:val="formattext topleveltext"/>
    <w:basedOn w:val="Normal"/>
    <w:qFormat/>
    <w:pPr>
      <w:widowControl/>
      <w:spacing w:before="280" w:after="280"/>
    </w:pPr>
    <w:rPr>
      <w:rFonts w:ascii="Times New Roman" w:hAnsi="Times New Roman" w:eastAsia="Times New Roman" w:cs="Times New Roman"/>
    </w:rPr>
  </w:style>
  <w:style w:type="paragraph" w:styleId="31">
    <w:name w:val="Основной текст (3)"/>
    <w:basedOn w:val="Normal"/>
    <w:qFormat/>
    <w:pPr>
      <w:shd w:fill="FFFFFF"/>
      <w:spacing w:lineRule="exact" w:line="216"/>
      <w:jc w:val="right"/>
    </w:pPr>
    <w:rPr>
      <w:rFonts w:ascii="Times New Roman" w:hAnsi="Times New Roman" w:cs="Times New Roman"/>
      <w:sz w:val="17"/>
      <w:szCs w:val="17"/>
    </w:rPr>
  </w:style>
  <w:style w:type="paragraph" w:styleId="21">
    <w:name w:val="Основной текст (2)"/>
    <w:basedOn w:val="Normal"/>
    <w:qFormat/>
    <w:pPr>
      <w:shd w:fill="FFFFFF"/>
      <w:spacing w:lineRule="exact" w:line="306" w:before="360" w:after="240"/>
      <w:ind w:hanging="1840"/>
    </w:pPr>
    <w:rPr>
      <w:rFonts w:ascii="Times New Roman" w:hAnsi="Times New Roman" w:cs="Times New Roman"/>
      <w:b/>
      <w:bCs/>
    </w:rPr>
  </w:style>
  <w:style w:type="paragraph" w:styleId="13">
    <w:name w:val="Колонтитул1"/>
    <w:basedOn w:val="Normal"/>
    <w:qFormat/>
    <w:pPr>
      <w:shd w:fill="FFFFFF"/>
      <w:spacing w:lineRule="atLeast" w:line="240"/>
    </w:pPr>
    <w:rPr>
      <w:rFonts w:ascii="Times New Roman" w:hAnsi="Times New Roman" w:cs="Times New Roman"/>
      <w:sz w:val="19"/>
      <w:szCs w:val="19"/>
      <w:lang w:eastAsia="ru-RU"/>
    </w:rPr>
  </w:style>
  <w:style w:type="paragraph" w:styleId="14">
    <w:name w:val="Заголовок №1"/>
    <w:basedOn w:val="Normal"/>
    <w:qFormat/>
    <w:pPr>
      <w:shd w:fill="FFFFFF"/>
      <w:spacing w:lineRule="exact" w:line="300" w:before="0" w:after="360"/>
      <w:ind w:hanging="820"/>
    </w:pPr>
    <w:rPr>
      <w:rFonts w:ascii="Times New Roman" w:hAnsi="Times New Roman" w:cs="Times New Roman"/>
      <w:b/>
      <w:bCs/>
    </w:rPr>
  </w:style>
  <w:style w:type="paragraph" w:styleId="15">
    <w:name w:val="Указатель1"/>
    <w:basedOn w:val="Normal"/>
    <w:qFormat/>
    <w:pPr/>
    <w:rPr>
      <w:rFonts w:cs="Mangal"/>
    </w:rPr>
  </w:style>
  <w:style w:type="paragraph" w:styleId="Style33">
    <w:name w:val="Название объекта"/>
    <w:basedOn w:val="Normal"/>
    <w:qFormat/>
    <w:pPr>
      <w:spacing w:before="120" w:after="120"/>
    </w:pPr>
    <w:rPr>
      <w:rFonts w:cs="Mangal"/>
      <w:i/>
      <w:iC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rhitertortim@mail.ru" TargetMode="External"/><Relationship Id="rId3" Type="http://schemas.openxmlformats.org/officeDocument/2006/relationships/hyperlink" Target="consultantplus://offline/ref=DC5688143164477E734009D32056AAE4B8512C18A7A04DAC42B29515069302BED9D8186A24BAC71445F9CCD2088B9ACD0018893C870FF22EE8FCC0pFv6N" TargetMode="External"/><Relationship Id="rId4" Type="http://schemas.openxmlformats.org/officeDocument/2006/relationships/hyperlink" Target="consultantplus://offline/ref=A0A6346FB8257755C892D8539FDB87326A607BF90A66E66FCCFA9B8BE268BC91CAC1BCF2B2A5AA9FA8FA9A10E0e2U5G" TargetMode="External"/><Relationship Id="rId5" Type="http://schemas.openxmlformats.org/officeDocument/2006/relationships/hyperlink" Target="consultantplus://offline/ref=A0A6346FB8257755C892C65E89B7DD3E6E6A2DF50964E83897A5C0D6B561B6C69F8EBDAEF7F3B99EACFA9817FF2E9F77e9U6G" TargetMode="External"/><Relationship Id="rId6" Type="http://schemas.openxmlformats.org/officeDocument/2006/relationships/hyperlink" Target="consultantplus://offline/ref=7B316CC03F0694FF9E7C2DAB7899A579FB53F99C5F9CAEC75AF62EE15E70D071DE76B64AE057B8D3F68802174Eh7m6G" TargetMode="External"/><Relationship Id="rId7" Type="http://schemas.openxmlformats.org/officeDocument/2006/relationships/hyperlink" Target="consultantplus://offline/ref=266488D2FC7115E7294E6EA28A81AE7D68435B6DC28C8B2E9284D192ACDA42D788A511A694F845E8C04B2D46D0D4C252173426F57BECC3A33404CCR073G" TargetMode="External"/><Relationship Id="rId8" Type="http://schemas.openxmlformats.org/officeDocument/2006/relationships/hyperlink" Target="consultantplus://offline/ref=B5A3237287FEC4C590E40C3B232B21FF05012EBC0DE39466A922F4B514B08018E4AA3B189ADC74C7F5E6B26FD64E2033EC85D6BA977A6E6641DD8EKCkAH" TargetMode="External"/><Relationship Id="rId9" Type="http://schemas.openxmlformats.org/officeDocument/2006/relationships/image" Target="media/image1.wmf"/><Relationship Id="rId10" Type="http://schemas.openxmlformats.org/officeDocument/2006/relationships/image" Target="media/image2.wmf"/><Relationship Id="rId11" Type="http://schemas.openxmlformats.org/officeDocument/2006/relationships/image" Target="media/image3.wmf"/><Relationship Id="rId12" Type="http://schemas.openxmlformats.org/officeDocument/2006/relationships/image" Target="media/image4.wmf"/><Relationship Id="rId13" Type="http://schemas.openxmlformats.org/officeDocument/2006/relationships/image" Target="media/image5.wmf"/><Relationship Id="rId14" Type="http://schemas.openxmlformats.org/officeDocument/2006/relationships/image" Target="media/image6.wmf"/><Relationship Id="rId15" Type="http://schemas.openxmlformats.org/officeDocument/2006/relationships/hyperlink" Target="consultantplus://offline/ref=A0A6346FB8257755C892D8539FDB87326A607BF90A66E66FCCFA9B8BE268BC91CAC1BCF2B2A5AA9FA8FA9A10E0e2U5G" TargetMode="External"/><Relationship Id="rId16" Type="http://schemas.openxmlformats.org/officeDocument/2006/relationships/hyperlink" Target="consultantplus://offline/ref=B55652D92F3CDDA80CFBB92A5EE557D0076FAACCEBCA8FED502BB68B7271176CC0A20E8F267431078AB52E7E4C19207B450A15bDp9G" TargetMode="External"/><Relationship Id="rId17" Type="http://schemas.openxmlformats.org/officeDocument/2006/relationships/hyperlink" Target="consultantplus://offline/ref=B55652D92F3CDDA80CFBA72748890DDC0160FDC5E4CB86B30C74EDD625781D3B87ED57CA692D6143DFBE2F72594D7621120715D4EF01FA0D9FFE02b6p6G" TargetMode="External"/><Relationship Id="rId18" Type="http://schemas.openxmlformats.org/officeDocument/2006/relationships/hyperlink" Target="consultantplus://offline/ref=06B04BC36EB625BBABFD6FD2AA7492F1AD10470354A5ADD3998E8E8B33B94F25A5236783CC543B027D5D0AA4392A722F60FD0EABA859A0F8471319J1vBG" TargetMode="External"/><Relationship Id="rId19" Type="http://schemas.openxmlformats.org/officeDocument/2006/relationships/hyperlink" Target="consultantplus://offline/ref=9000A9DCAB28F05D7650FB93C737520B197151B217E0BC7610862B02FB4957243856AC872C6F1BF39DB1F87BD4A0B1A4C3F1BBE14B4DFE31206087IFLBH" TargetMode="External"/><Relationship Id="rId20" Type="http://schemas.openxmlformats.org/officeDocument/2006/relationships/hyperlink" Target="consultantplus://offline/ref=193007B2A3E9DE7E539160033069EDD571BE0B975CAAD7F7DE0D6BF6EB8FABD78E8D932B86977738DD421535F59121A9E608549CC0802332117D37MFz9D" TargetMode="External"/><Relationship Id="rId21" Type="http://schemas.openxmlformats.org/officeDocument/2006/relationships/hyperlink" Target="consultantplus://offline/ref=193007B2A3E9DE7E539160033069EDD571BE0B975CAAD7F7DE0D6BF6EB8FABD78E8D932B8697773BD5481431F59121A9E608549CC0802332117D37MFz9D" TargetMode="External"/><Relationship Id="rId22" Type="http://schemas.openxmlformats.org/officeDocument/2006/relationships/header" Target="header1.xml"/><Relationship Id="rId23" Type="http://schemas.openxmlformats.org/officeDocument/2006/relationships/header" Target="header2.xml"/><Relationship Id="rId24" Type="http://schemas.openxmlformats.org/officeDocument/2006/relationships/header" Target="header3.xml"/><Relationship Id="rId25" Type="http://schemas.openxmlformats.org/officeDocument/2006/relationships/fontTable" Target="fontTable.xml"/><Relationship Id="rId26" Type="http://schemas.openxmlformats.org/officeDocument/2006/relationships/settings" Target="settings.xml"/><Relationship Id="rId2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3101</TotalTime>
  <Application>LibreOffice/7.1.7.2$Windows_X86_64 LibreOffice_project/c6a4e3954236145e2acb0b65f68614365aeee33f</Application>
  <AppVersion>15.0000</AppVersion>
  <Pages>41</Pages>
  <Words>7682</Words>
  <Characters>58614</Characters>
  <CharactersWithSpaces>65570</CharactersWithSpaces>
  <Paragraphs>954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Ермолова Е.В.</dc:creator>
  <dc:description/>
  <dc:language>ru-RU</dc:language>
  <cp:lastModifiedBy/>
  <dcterms:modified xsi:type="dcterms:W3CDTF">2024-03-27T13:56:11Z</dcterms:modified>
  <cp:revision>422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